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4434" w14:textId="17094B72" w:rsidR="00346CB0" w:rsidRDefault="002023F1" w:rsidP="002023F1">
      <w:pPr>
        <w:pStyle w:val="Akapitzlist"/>
        <w:spacing w:after="120"/>
        <w:ind w:left="0"/>
        <w:contextualSpacing w:val="0"/>
        <w:jc w:val="right"/>
        <w:rPr>
          <w:b/>
          <w:i/>
          <w:iCs/>
        </w:rPr>
      </w:pPr>
      <w:r>
        <w:rPr>
          <w:b/>
          <w:i/>
          <w:iCs/>
        </w:rPr>
        <w:t>Załącznik nr 2 do umowy inwestycyjnej nr ………………..…</w:t>
      </w:r>
    </w:p>
    <w:p w14:paraId="6FDA4471" w14:textId="77777777" w:rsidR="002023F1" w:rsidRPr="002023F1" w:rsidRDefault="002023F1" w:rsidP="002023F1">
      <w:pPr>
        <w:pStyle w:val="Akapitzlist"/>
        <w:spacing w:after="120"/>
        <w:ind w:left="0"/>
        <w:contextualSpacing w:val="0"/>
        <w:jc w:val="right"/>
        <w:rPr>
          <w:b/>
          <w:i/>
          <w:iCs/>
        </w:rPr>
      </w:pPr>
    </w:p>
    <w:p w14:paraId="513866E1" w14:textId="77777777" w:rsidR="0005132B" w:rsidRPr="00630654" w:rsidRDefault="0005132B" w:rsidP="0005132B">
      <w:pPr>
        <w:spacing w:before="120" w:after="120"/>
        <w:ind w:left="1416" w:firstLine="708"/>
        <w:rPr>
          <w:rFonts w:ascii="Calibri" w:eastAsia="Calibri" w:hAnsi="Calibri"/>
          <w:b/>
        </w:rPr>
      </w:pPr>
      <w:r w:rsidRPr="00630654">
        <w:rPr>
          <w:rFonts w:ascii="Calibri" w:eastAsia="Calibri" w:hAnsi="Calibri"/>
          <w:b/>
        </w:rPr>
        <w:t>Karta produktu Pożyczka na efektywność energetyczną</w:t>
      </w:r>
    </w:p>
    <w:p w14:paraId="7BCF9E9A" w14:textId="03F1254D" w:rsidR="0005132B" w:rsidRPr="00630654" w:rsidRDefault="0005132B" w:rsidP="0005132B">
      <w:pPr>
        <w:spacing w:before="120" w:after="120"/>
        <w:ind w:left="1416" w:firstLine="708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i/>
          <w:color w:val="000000"/>
        </w:rPr>
        <w:t xml:space="preserve">(Umowa Operacyjna </w:t>
      </w:r>
      <w:r w:rsidRPr="00630654">
        <w:rPr>
          <w:rFonts w:ascii="Calibri" w:eastAsia="Calibri" w:hAnsi="Calibri"/>
          <w:b/>
          <w:i/>
          <w:color w:val="000000"/>
        </w:rPr>
        <w:t>nr  2/RPMP/</w:t>
      </w:r>
      <w:r>
        <w:rPr>
          <w:rFonts w:ascii="Calibri" w:eastAsia="Calibri" w:hAnsi="Calibri"/>
          <w:b/>
          <w:i/>
          <w:color w:val="000000"/>
        </w:rPr>
        <w:t>10820</w:t>
      </w:r>
      <w:r w:rsidRPr="00630654">
        <w:rPr>
          <w:rFonts w:ascii="Calibri" w:eastAsia="Calibri" w:hAnsi="Calibri"/>
          <w:b/>
          <w:i/>
          <w:color w:val="000000"/>
        </w:rPr>
        <w:t>/202</w:t>
      </w:r>
      <w:r>
        <w:rPr>
          <w:rFonts w:ascii="Calibri" w:eastAsia="Calibri" w:hAnsi="Calibri"/>
          <w:b/>
          <w:i/>
          <w:color w:val="000000"/>
        </w:rPr>
        <w:t>1</w:t>
      </w:r>
      <w:r w:rsidRPr="00630654">
        <w:rPr>
          <w:rFonts w:ascii="Calibri" w:eastAsia="Calibri" w:hAnsi="Calibri"/>
          <w:b/>
          <w:i/>
          <w:color w:val="000000"/>
        </w:rPr>
        <w:t>/I/DIF/</w:t>
      </w:r>
      <w:r>
        <w:rPr>
          <w:rFonts w:ascii="Calibri" w:eastAsia="Calibri" w:hAnsi="Calibri"/>
          <w:b/>
          <w:i/>
          <w:color w:val="000000"/>
        </w:rPr>
        <w:t>355)</w:t>
      </w:r>
    </w:p>
    <w:p w14:paraId="58204AAB" w14:textId="77777777" w:rsidR="005F3EAE" w:rsidRPr="00F854F4" w:rsidRDefault="005F3EAE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6957CB72" w:rsidR="007678C3" w:rsidRPr="00F854F4" w:rsidRDefault="007678C3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Podstawowe parametry </w:t>
      </w:r>
      <w:r w:rsidR="005F7B39">
        <w:rPr>
          <w:b/>
        </w:rPr>
        <w:t>Pożyczki</w:t>
      </w:r>
      <w:r w:rsidR="003D2669">
        <w:rPr>
          <w:b/>
        </w:rPr>
        <w:t xml:space="preserve"> na efektywność energetyczną</w:t>
      </w:r>
    </w:p>
    <w:p w14:paraId="4E19050D" w14:textId="2AE6847D" w:rsidR="007678C3" w:rsidRPr="00F854F4" w:rsidRDefault="007678C3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Wartość </w:t>
      </w:r>
      <w:r w:rsidR="00D00D62">
        <w:t>Pożyczki</w:t>
      </w:r>
      <w:r w:rsidR="00242BE0" w:rsidRPr="00F854F4">
        <w:t xml:space="preserve"> </w:t>
      </w:r>
      <w:r w:rsidR="005F7B39">
        <w:t xml:space="preserve">wynosi od </w:t>
      </w:r>
      <w:r w:rsidR="003D2669">
        <w:t xml:space="preserve">100 000,00 </w:t>
      </w:r>
      <w:r w:rsidR="005F7B39">
        <w:t xml:space="preserve">zł do </w:t>
      </w:r>
      <w:r w:rsidR="00C72A9E">
        <w:t>1 000 000,00</w:t>
      </w:r>
      <w:r w:rsidR="003D2669">
        <w:rPr>
          <w:rStyle w:val="Odwoanieprzypisudolnego"/>
        </w:rPr>
        <w:footnoteReference w:id="1"/>
      </w:r>
      <w:r w:rsidR="005F7B39">
        <w:t xml:space="preserve"> zł</w:t>
      </w:r>
      <w:r w:rsidRPr="00F854F4">
        <w:t>.</w:t>
      </w:r>
    </w:p>
    <w:p w14:paraId="1D6999E5" w14:textId="11BCBAA5" w:rsidR="00875729" w:rsidRPr="00C72A9E" w:rsidRDefault="00FD1A3D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C72A9E">
        <w:t xml:space="preserve">Wkład własny </w:t>
      </w:r>
      <w:r w:rsidR="0069098E" w:rsidRPr="00C72A9E">
        <w:t xml:space="preserve">Pożyczkobiorcy </w:t>
      </w:r>
      <w:r w:rsidRPr="00C72A9E">
        <w:t>nie jest wymagany</w:t>
      </w:r>
      <w:r w:rsidR="00871981" w:rsidRPr="00C72A9E">
        <w:t>, z zastrzeżeniem pkt. VIII.7</w:t>
      </w:r>
      <w:r w:rsidRPr="00C72A9E">
        <w:t>.</w:t>
      </w:r>
    </w:p>
    <w:p w14:paraId="7F8CD016" w14:textId="4E33EA46" w:rsidR="00A51C14" w:rsidRPr="00F854F4" w:rsidRDefault="00A51C14" w:rsidP="00F22812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F854F4">
        <w:t xml:space="preserve">Maksymalny termin na wypłatę całkowitej kwoty </w:t>
      </w:r>
      <w:r w:rsidR="00A21B2D">
        <w:t xml:space="preserve">Pożyczki </w:t>
      </w:r>
      <w:r w:rsidR="005F7B39">
        <w:t xml:space="preserve">przez </w:t>
      </w:r>
      <w:r w:rsidR="00F22812" w:rsidRPr="00F22812">
        <w:t>Małopolską Agencją Rozwoju Regionalnego S.A.</w:t>
      </w:r>
      <w:r w:rsidR="007F22A3">
        <w:t xml:space="preserve"> </w:t>
      </w:r>
      <w:r w:rsidR="005F7B39">
        <w:t xml:space="preserve">wynosi </w:t>
      </w:r>
      <w:r w:rsidR="003D2669">
        <w:t>180</w:t>
      </w:r>
      <w:r w:rsidRPr="00F854F4">
        <w:t xml:space="preserve"> dni k</w:t>
      </w:r>
      <w:r w:rsidR="00D00D62">
        <w:t>alendarzowych od dnia zawarcia u</w:t>
      </w:r>
      <w:r w:rsidRPr="00F854F4">
        <w:t xml:space="preserve">mowy </w:t>
      </w:r>
      <w:r w:rsidR="00D00D62">
        <w:t>Pożyczki</w:t>
      </w:r>
      <w:r w:rsidRPr="00F854F4">
        <w:t xml:space="preserve">. </w:t>
      </w:r>
    </w:p>
    <w:p w14:paraId="6386264E" w14:textId="56D01434" w:rsidR="00097D21" w:rsidRPr="00F854F4" w:rsidRDefault="00097D21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Maksymalny okres spłaty </w:t>
      </w:r>
      <w:r w:rsidR="00A21B2D">
        <w:t xml:space="preserve">Pożyczki </w:t>
      </w:r>
      <w:r w:rsidR="005F7B39">
        <w:t xml:space="preserve">nie może być dłuższy niż </w:t>
      </w:r>
      <w:r w:rsidR="003D2669">
        <w:t>240</w:t>
      </w:r>
      <w:r w:rsidRPr="00F854F4">
        <w:t xml:space="preserve"> miesięcy</w:t>
      </w:r>
      <w:r w:rsidR="00AE7DAF" w:rsidRPr="00F854F4">
        <w:t>, od momentu jej uruchomienia</w:t>
      </w:r>
      <w:r w:rsidR="00854DE4" w:rsidRPr="00F854F4">
        <w:t xml:space="preserve">, tj. wypłaty jakiejkolwiek kwoty </w:t>
      </w:r>
      <w:r w:rsidR="003D2669">
        <w:t xml:space="preserve">Jednostkowej </w:t>
      </w:r>
      <w:r w:rsidR="00A21B2D">
        <w:t>Pożyczki</w:t>
      </w:r>
      <w:r w:rsidRPr="00F854F4">
        <w:t>.</w:t>
      </w:r>
    </w:p>
    <w:p w14:paraId="2C787C11" w14:textId="07A3E98F" w:rsidR="00CC1E53" w:rsidRPr="00F854F4" w:rsidRDefault="00CC1E53" w:rsidP="006B26B1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Maksymalna karencja w spłacie </w:t>
      </w:r>
      <w:r w:rsidR="00346CB0">
        <w:t xml:space="preserve">kapitału </w:t>
      </w:r>
      <w:r w:rsidR="00A21B2D">
        <w:t xml:space="preserve">Pożyczki </w:t>
      </w:r>
      <w:r w:rsidR="005F7B39">
        <w:t xml:space="preserve">wynosi </w:t>
      </w:r>
      <w:r w:rsidR="003D2669">
        <w:t>9</w:t>
      </w:r>
      <w:r w:rsidRPr="00F854F4">
        <w:t xml:space="preserve"> miesięcy</w:t>
      </w:r>
      <w:r w:rsidR="006856FE" w:rsidRPr="00F854F4">
        <w:t xml:space="preserve"> od dnia jej uruchomienia</w:t>
      </w:r>
      <w:r w:rsidRPr="00F854F4">
        <w:t>, przy czym karencja nie wydłuża okresu spłaty</w:t>
      </w:r>
      <w:r w:rsidR="003D2669">
        <w:t xml:space="preserve"> Jednostkowej</w:t>
      </w:r>
      <w:r w:rsidRPr="00F854F4">
        <w:t xml:space="preserve"> </w:t>
      </w:r>
      <w:r w:rsidR="00A21B2D">
        <w:t>Pożyczki</w:t>
      </w:r>
      <w:r w:rsidR="00A51C14" w:rsidRPr="00F854F4">
        <w:t>.</w:t>
      </w:r>
      <w:r w:rsidR="00BB28F7">
        <w:t xml:space="preserve"> </w:t>
      </w:r>
    </w:p>
    <w:p w14:paraId="2E4B2D9B" w14:textId="77777777" w:rsidR="001465A3" w:rsidRPr="00F854F4" w:rsidRDefault="001465A3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15216030" w14:textId="3643BE2F" w:rsidR="001465A3" w:rsidRPr="00F854F4" w:rsidRDefault="00FD1A3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>Z</w:t>
      </w:r>
      <w:r w:rsidR="005F3EAE" w:rsidRPr="00F854F4">
        <w:rPr>
          <w:b/>
        </w:rPr>
        <w:t>asady dotyczące</w:t>
      </w:r>
      <w:r w:rsidR="001465A3" w:rsidRPr="00F854F4">
        <w:rPr>
          <w:b/>
        </w:rPr>
        <w:t xml:space="preserve"> udzielania</w:t>
      </w:r>
      <w:r w:rsidR="00417A9B" w:rsidRPr="00F854F4">
        <w:rPr>
          <w:b/>
        </w:rPr>
        <w:t xml:space="preserve"> i udokumentowania</w:t>
      </w:r>
      <w:r w:rsidR="001465A3" w:rsidRPr="00F854F4">
        <w:rPr>
          <w:b/>
        </w:rPr>
        <w:t xml:space="preserve"> </w:t>
      </w:r>
      <w:r w:rsidR="00A21B2D">
        <w:rPr>
          <w:b/>
        </w:rPr>
        <w:t xml:space="preserve">Pożyczki </w:t>
      </w:r>
      <w:r w:rsidR="00D50580">
        <w:rPr>
          <w:b/>
        </w:rPr>
        <w:t>na efektywność energetyczną</w:t>
      </w:r>
    </w:p>
    <w:p w14:paraId="209729E3" w14:textId="490E58A8" w:rsidR="001465A3" w:rsidRPr="00F854F4" w:rsidRDefault="001465A3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854F4">
        <w:t xml:space="preserve">Udzielenie </w:t>
      </w:r>
      <w:r w:rsidR="00D50580">
        <w:t xml:space="preserve">Jednostkowej </w:t>
      </w:r>
      <w:r w:rsidR="00A21B2D">
        <w:t xml:space="preserve">Pożyczki </w:t>
      </w:r>
      <w:r w:rsidRPr="00F854F4">
        <w:t xml:space="preserve">nie może być uzależnione od zawarcia przez </w:t>
      </w:r>
      <w:r w:rsidR="0069098E">
        <w:t xml:space="preserve">Pożyczkobiorcę </w:t>
      </w:r>
      <w:r w:rsidRPr="00F854F4">
        <w:t>dodatkowych umów (w szczególności dotyczących zakupu dodatkowych usług</w:t>
      </w:r>
      <w:r w:rsidR="00EE07F6" w:rsidRPr="00F854F4">
        <w:t xml:space="preserve">, </w:t>
      </w:r>
      <w:r w:rsidR="002612FF" w:rsidRPr="00F854F4">
        <w:t>produktów finansowych lub ubezpieczeniowych</w:t>
      </w:r>
      <w:r w:rsidRPr="00F854F4">
        <w:t xml:space="preserve">) </w:t>
      </w:r>
      <w:r w:rsidR="006A149A">
        <w:t xml:space="preserve">z </w:t>
      </w:r>
      <w:r w:rsidR="00412830" w:rsidRPr="00F22812">
        <w:t>Małopolską Agencją Rozwoju Regionalnego S.A.</w:t>
      </w:r>
      <w:r w:rsidR="00412830">
        <w:t xml:space="preserve"> </w:t>
      </w:r>
      <w:r w:rsidR="00FD1A3D" w:rsidRPr="00F854F4">
        <w:t xml:space="preserve"> </w:t>
      </w:r>
      <w:r w:rsidRPr="00F854F4">
        <w:t xml:space="preserve">lub podmiotem partnerskim lub powiązanym w stosunku do </w:t>
      </w:r>
      <w:r w:rsidR="006A149A" w:rsidRPr="00F22812">
        <w:t>Małopolsk</w:t>
      </w:r>
      <w:r w:rsidR="006A149A">
        <w:t>iej</w:t>
      </w:r>
      <w:r w:rsidR="006A149A" w:rsidRPr="00F22812">
        <w:t xml:space="preserve"> Agencj</w:t>
      </w:r>
      <w:r w:rsidR="006A149A">
        <w:t>i</w:t>
      </w:r>
      <w:r w:rsidR="006A149A" w:rsidRPr="00F22812">
        <w:t xml:space="preserve"> Rozwoju Regionalnego S.A.</w:t>
      </w:r>
      <w:r w:rsidRPr="00F854F4">
        <w:t xml:space="preserve">; powyższe nie dotyczy </w:t>
      </w:r>
      <w:r w:rsidR="003408A3" w:rsidRPr="00F854F4">
        <w:t xml:space="preserve">powszechnie występujących na rynku oraz standardowo stosowanych przez </w:t>
      </w:r>
      <w:r w:rsidR="006A149A" w:rsidRPr="00F22812">
        <w:t>Małopolską Agencją Rozwoju Regionalnego S.A.</w:t>
      </w:r>
      <w:r w:rsidR="006A149A">
        <w:t xml:space="preserve"> </w:t>
      </w:r>
      <w:r w:rsidRPr="00F854F4">
        <w:t xml:space="preserve">zabezpieczeń ustanawianych przez </w:t>
      </w:r>
      <w:r w:rsidR="0069098E">
        <w:t xml:space="preserve">Pożyczkobiorcę </w:t>
      </w:r>
      <w:r w:rsidRPr="00F854F4">
        <w:t xml:space="preserve">na rzecz </w:t>
      </w:r>
      <w:r w:rsidR="009D0C72" w:rsidRPr="00F22812">
        <w:t>Małopolsk</w:t>
      </w:r>
      <w:r w:rsidR="009D0C72">
        <w:t>iej</w:t>
      </w:r>
      <w:r w:rsidR="009D0C72" w:rsidRPr="00F22812">
        <w:t xml:space="preserve"> Agencj</w:t>
      </w:r>
      <w:r w:rsidR="009D0C72">
        <w:t>i</w:t>
      </w:r>
      <w:r w:rsidR="009D0C72" w:rsidRPr="00F22812">
        <w:t xml:space="preserve"> Rozwoju Regionalnego S.A.</w:t>
      </w:r>
      <w:r w:rsidR="009D0C72">
        <w:t xml:space="preserve"> </w:t>
      </w:r>
      <w:r w:rsidRPr="00F854F4">
        <w:t xml:space="preserve">w związku z zawieraną umową </w:t>
      </w:r>
      <w:r w:rsidR="00A21B2D">
        <w:t>Pożyczki</w:t>
      </w:r>
      <w:r w:rsidR="00B904C3" w:rsidRPr="00F854F4">
        <w:t xml:space="preserve">, z zastrzeżeniem, iż w przypadku zabezpieczenia takiego jak „cesja praw z polisy ubezpieczeniowej” </w:t>
      </w:r>
      <w:r w:rsidR="0069098E">
        <w:t xml:space="preserve">Pożyczkobiorca </w:t>
      </w:r>
      <w:r w:rsidR="00B904C3" w:rsidRPr="00F854F4">
        <w:t>ma</w:t>
      </w:r>
      <w:r w:rsidR="003C5575">
        <w:t> </w:t>
      </w:r>
      <w:r w:rsidR="00B904C3" w:rsidRPr="00F854F4">
        <w:t>możliwość wyboru oferty spośród ubezpieczycieli dostępnych na rynku.</w:t>
      </w:r>
    </w:p>
    <w:p w14:paraId="570C6081" w14:textId="5E293966" w:rsidR="00FD2C5B" w:rsidRDefault="005F7B39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B2422">
        <w:t>Wydatkowanie środków Pożyczki musi zostać należycie udokumentowane w</w:t>
      </w:r>
      <w:r>
        <w:t> </w:t>
      </w:r>
      <w:r w:rsidR="006E6C0F">
        <w:t xml:space="preserve">terminie do </w:t>
      </w:r>
      <w:r w:rsidR="00560A36">
        <w:t>180</w:t>
      </w:r>
      <w:r w:rsidRPr="00CB2422">
        <w:t xml:space="preserve"> dni od </w:t>
      </w:r>
      <w:r w:rsidRPr="00DF3D76">
        <w:t>dnia wypłaty całkowitej kwoty Pożyczki</w:t>
      </w:r>
      <w:r>
        <w:t>, przy czym termin ten dotyczy daty wystawienia dokumentów potwierdzających wydatkowanie środków</w:t>
      </w:r>
      <w:r w:rsidRPr="00CB2422">
        <w:t xml:space="preserve">. W uzasadnionych przypadkach, na wniosek </w:t>
      </w:r>
      <w:r w:rsidR="0069098E">
        <w:t xml:space="preserve">Pożyczkobiorcy </w:t>
      </w:r>
      <w:r w:rsidR="00581FDC" w:rsidRPr="00F22812">
        <w:t>Małopolsk</w:t>
      </w:r>
      <w:r w:rsidR="00581FDC">
        <w:t>a</w:t>
      </w:r>
      <w:r w:rsidR="00581FDC" w:rsidRPr="00F22812">
        <w:t xml:space="preserve"> Agencj</w:t>
      </w:r>
      <w:r w:rsidR="00581FDC">
        <w:t>a</w:t>
      </w:r>
      <w:r w:rsidR="00581FDC" w:rsidRPr="00F22812">
        <w:t xml:space="preserve"> Rozwoju Regionalnego S.A.</w:t>
      </w:r>
      <w:r w:rsidR="00581FDC">
        <w:t xml:space="preserve"> </w:t>
      </w:r>
      <w:r w:rsidRPr="00CB2422">
        <w:t>może zaakceptować wydłużenie tego terminu</w:t>
      </w:r>
      <w:r w:rsidR="006E6C0F">
        <w:t xml:space="preserve"> maksymalnie o kolejne </w:t>
      </w:r>
      <w:r w:rsidR="00560A36">
        <w:t>180</w:t>
      </w:r>
      <w:r w:rsidRPr="00CB2422">
        <w:t xml:space="preserve"> dni ze względu na charakter inwestycji. </w:t>
      </w:r>
    </w:p>
    <w:p w14:paraId="3C773000" w14:textId="46FC34D5" w:rsidR="006E6C0F" w:rsidRDefault="005F7B39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72A9E">
        <w:t>Dokumentem potwierdzającym wydatkowanie środków zgodnie z celem, na jaki zostały przyznane jest faktura lub dokument równoważny w rozumieniu przepisów prawa krajowego</w:t>
      </w:r>
      <w:r w:rsidR="009674CB" w:rsidRPr="00C72A9E">
        <w:t xml:space="preserve">, wystawiony nie wcześniej niż w dniu złożenia wniosku o udzielenie </w:t>
      </w:r>
      <w:r w:rsidR="00AB48B4" w:rsidRPr="00C72A9E">
        <w:t>Pożyczki</w:t>
      </w:r>
      <w:r w:rsidR="00CD086A" w:rsidRPr="00C72A9E">
        <w:t xml:space="preserve">, </w:t>
      </w:r>
      <w:r w:rsidR="00CD086A" w:rsidRPr="00C72A9E">
        <w:rPr>
          <w:rFonts w:eastAsia="Calibri" w:cs="Times New Roman"/>
        </w:rPr>
        <w:t xml:space="preserve">wraz z potwierdzeniem dokonania zapłaty (np. dowód przelewu). </w:t>
      </w:r>
      <w:r w:rsidR="00CD086A" w:rsidRPr="00C72A9E">
        <w:t xml:space="preserve"> </w:t>
      </w:r>
      <w:r w:rsidR="00AB48B4" w:rsidRPr="00C72A9E">
        <w:t>Pożyczkodawca</w:t>
      </w:r>
      <w:r w:rsidR="009674CB" w:rsidRPr="00C72A9E">
        <w:t xml:space="preserve"> może przyjąć do rozliczenia dokument potwierdzający wydatkowanie </w:t>
      </w:r>
      <w:r w:rsidR="00AB48B4" w:rsidRPr="00C72A9E">
        <w:t>Pożyczki</w:t>
      </w:r>
      <w:r w:rsidR="009674CB" w:rsidRPr="00C72A9E">
        <w:t xml:space="preserve"> wystawiony z datą</w:t>
      </w:r>
      <w:r w:rsidR="009674CB" w:rsidRPr="00D41963">
        <w:t xml:space="preserve"> wcześniejszą, pod warunkiem, że pozyska on wiarygodne </w:t>
      </w:r>
      <w:r w:rsidR="009674CB" w:rsidRPr="00D41963">
        <w:lastRenderedPageBreak/>
        <w:t>dowody, że przedstawiony dokument nie został opłacony przed dniem złożenia wniosku o udzielenie Pożyczki</w:t>
      </w:r>
      <w:r w:rsidRPr="00CB2422">
        <w:t>.</w:t>
      </w:r>
    </w:p>
    <w:p w14:paraId="0026BE3E" w14:textId="40C75952" w:rsidR="006E6C0F" w:rsidRDefault="006E6C0F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>
        <w:t xml:space="preserve">Wszelka dokumentacja potwierdzająca wydatkowanie środków przez </w:t>
      </w:r>
      <w:r w:rsidR="0069098E">
        <w:t xml:space="preserve">Pożyczkobiorcę </w:t>
      </w:r>
      <w:r>
        <w:t>powinna być, co do</w:t>
      </w:r>
      <w:r w:rsidRPr="00265E3C">
        <w:t xml:space="preserve"> zasady, sporządzona w języku polskim, a w przypadku dokumentów wystawianych w języku</w:t>
      </w:r>
      <w:r>
        <w:t xml:space="preserve"> innym niż język polski, powinna zostać </w:t>
      </w:r>
      <w:r w:rsidRPr="00265E3C">
        <w:t xml:space="preserve">przetłumaczona na język polski przez </w:t>
      </w:r>
      <w:r w:rsidR="0069098E">
        <w:t xml:space="preserve">Pożyczkobiorcę </w:t>
      </w:r>
      <w:r>
        <w:t>lub na jego zlecenie.</w:t>
      </w:r>
    </w:p>
    <w:p w14:paraId="31FAB805" w14:textId="77777777" w:rsidR="005F5324" w:rsidRDefault="005F5324" w:rsidP="005F5324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Calibri" w:cs="Times New Roman"/>
          <w:b/>
        </w:rPr>
      </w:pPr>
      <w:r w:rsidRPr="00DB2A23">
        <w:rPr>
          <w:rFonts w:eastAsia="Calibri" w:cs="Times New Roman"/>
          <w:b/>
        </w:rPr>
        <w:t>Przeznaczenie finansowania</w:t>
      </w:r>
    </w:p>
    <w:p w14:paraId="7A7270E7" w14:textId="77777777" w:rsidR="005F5324" w:rsidRPr="00DB2A23" w:rsidRDefault="005F5324" w:rsidP="005F5324">
      <w:pPr>
        <w:spacing w:after="120" w:line="240" w:lineRule="auto"/>
        <w:ind w:left="284"/>
        <w:rPr>
          <w:rFonts w:eastAsia="Calibri" w:cs="Times New Roman"/>
          <w:b/>
        </w:rPr>
      </w:pPr>
    </w:p>
    <w:p w14:paraId="13624D00" w14:textId="77777777" w:rsidR="005F5324" w:rsidRPr="00DB2A23" w:rsidRDefault="005F5324" w:rsidP="005F5324">
      <w:pPr>
        <w:numPr>
          <w:ilvl w:val="0"/>
          <w:numId w:val="1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ramach instrumentu finansowane będą przedsięwzięcia ukierunkowane na wsparcie inwestycji w zakresie głębokiej modernizacji energetycznej budynków wielorodzinnych</w:t>
      </w:r>
      <w:r>
        <w:rPr>
          <w:rFonts w:eastAsia="Calibri" w:cs="Times New Roman"/>
        </w:rPr>
        <w:t xml:space="preserve"> </w:t>
      </w:r>
      <w:r w:rsidRPr="00DB2A23">
        <w:rPr>
          <w:rFonts w:eastAsia="Calibri" w:cs="Times New Roman"/>
        </w:rPr>
        <w:t>mieszka</w:t>
      </w:r>
      <w:r>
        <w:rPr>
          <w:rFonts w:eastAsia="Calibri" w:cs="Times New Roman"/>
        </w:rPr>
        <w:t>lnych</w:t>
      </w:r>
      <w:r w:rsidRPr="00DB2A23">
        <w:rPr>
          <w:rFonts w:eastAsia="Calibri" w:cs="Times New Roman"/>
          <w:vertAlign w:val="superscript"/>
        </w:rPr>
        <w:footnoteReference w:id="2"/>
      </w:r>
      <w:r w:rsidRPr="00DB2A23">
        <w:rPr>
          <w:rFonts w:eastAsia="Calibri" w:cs="Times New Roman"/>
        </w:rPr>
        <w:t xml:space="preserve"> wraz z wymianą źródeł ciepła</w:t>
      </w:r>
      <w:r w:rsidRPr="00DB2A23">
        <w:rPr>
          <w:rFonts w:eastAsia="Calibri" w:cs="Times New Roman"/>
          <w:vertAlign w:val="superscript"/>
        </w:rPr>
        <w:footnoteReference w:id="3"/>
      </w:r>
      <w:r w:rsidRPr="00DB2A23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w tym </w:t>
      </w:r>
      <w:r w:rsidRPr="00DB2A23">
        <w:rPr>
          <w:rFonts w:eastAsia="Calibri" w:cs="Times New Roman"/>
        </w:rPr>
        <w:t>z możliwością zastosowania odnawialnych źródeł energii</w:t>
      </w:r>
      <w:r w:rsidRPr="00DB2A23">
        <w:rPr>
          <w:rFonts w:eastAsia="Calibri" w:cs="Times New Roman"/>
          <w:vertAlign w:val="superscript"/>
        </w:rPr>
        <w:footnoteReference w:id="4"/>
      </w:r>
      <w:r w:rsidRPr="00DB2A23">
        <w:rPr>
          <w:rFonts w:eastAsia="Calibri" w:cs="Times New Roman"/>
        </w:rPr>
        <w:t>, w tym w szczególności:</w:t>
      </w:r>
    </w:p>
    <w:p w14:paraId="3D30AEE0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ocieplenie ścian zewnętrznych budynku oraz stropów;</w:t>
      </w:r>
    </w:p>
    <w:p w14:paraId="0FB191DB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 xml:space="preserve"> wymiana stolarki okiennej i drzwiowej, przegrody przeźroczyste (fasady przeszklone, świetliki, atria, ogrody zimowe) oraz oświetlenia na energooszczędne (w częściach wspólnych budynku;</w:t>
      </w:r>
    </w:p>
    <w:p w14:paraId="2A35472A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przebudowa/modernizacja systemów grzewczych</w:t>
      </w:r>
      <w:r w:rsidRPr="00DB2A23">
        <w:rPr>
          <w:rFonts w:eastAsia="Calibri" w:cs="Times New Roman"/>
          <w:vertAlign w:val="superscript"/>
        </w:rPr>
        <w:footnoteReference w:id="5"/>
      </w:r>
      <w:r w:rsidRPr="00DB2A23">
        <w:rPr>
          <w:rFonts w:eastAsia="Calibri" w:cs="Times New Roman"/>
        </w:rPr>
        <w:t xml:space="preserve"> (wraz z wymianą źródła ciepła, podłączeniem do niego lub modernizacją przyłącza, podłączenie do miejskiego systemu ciepłowniczego), systemów wentylacji i klimatyzacji, instalacja systemów chłodzących;</w:t>
      </w:r>
    </w:p>
    <w:p w14:paraId="58F7F078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zastosowanie automatyki pogodowej i systemów zarządzania budynkiem;</w:t>
      </w:r>
    </w:p>
    <w:p w14:paraId="3AD1201C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budowa lub modernizacja wewnętrznych instalacji odbiorczych oraz likwidacja dotychczasowych źródeł ciepła;</w:t>
      </w:r>
    </w:p>
    <w:p w14:paraId="03C996F6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instalacja mikrokogeneracji/ mikrotrigeneracji na potrzeby własne;</w:t>
      </w:r>
    </w:p>
    <w:p w14:paraId="67B1051A" w14:textId="77777777" w:rsidR="005F5324" w:rsidRPr="00DB2A23" w:rsidRDefault="005F5324" w:rsidP="005F5324">
      <w:pPr>
        <w:numPr>
          <w:ilvl w:val="0"/>
          <w:numId w:val="37"/>
        </w:numPr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wykorzystanie technologii OZE</w:t>
      </w:r>
      <w:r>
        <w:rPr>
          <w:rFonts w:eastAsia="Calibri" w:cs="Times New Roman"/>
        </w:rPr>
        <w:t xml:space="preserve"> </w:t>
      </w:r>
      <w:r w:rsidRPr="00DB2A23">
        <w:rPr>
          <w:rFonts w:eastAsia="Calibri" w:cs="Times New Roman"/>
        </w:rPr>
        <w:t>w budynkach, przy założeniu, iż do sieci dystrybucyjnej elektroenergetycznej oddana będzie wyłącznie niewykorzystana część energii elektrycznej;</w:t>
      </w:r>
    </w:p>
    <w:p w14:paraId="0D1D96F5" w14:textId="77777777" w:rsidR="005F5324" w:rsidRPr="00DB2A23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odniesieniu do zakresu dotyczącego wymiany/likwidacji starego źródła ciepła (jako element projektu) wsparcie może zostać udzielone wyłącznie na zakup lub montaż nowych urządzeń grzewczych spalających biomasę lub wykorzystujących paliwa gazowe pod warunkiem, że:</w:t>
      </w:r>
    </w:p>
    <w:p w14:paraId="4334E6AE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brak jest ekonomicznego uzasadnienia podłączenia budynku do miejskiego systemu ciepłowniczego;</w:t>
      </w:r>
    </w:p>
    <w:p w14:paraId="5F828B75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lastRenderedPageBreak/>
        <w:t>zostanie osiągnięte znaczne zwiększenie efektywności energetycznej budynku, rozumianej jako uzyskanie nie mniej niż 25 % oszczędności w przeliczeniu na energię końcową w stosunku do stanu wyjściowego określonego w audycie energetycznym ex-ante</w:t>
      </w:r>
      <w:r>
        <w:rPr>
          <w:rFonts w:eastAsia="Calibri" w:cs="Times New Roman"/>
        </w:rPr>
        <w:t xml:space="preserve">. </w:t>
      </w:r>
      <w:r w:rsidRPr="00CC3F2D">
        <w:rPr>
          <w:rFonts w:eastAsia="Calibri" w:cs="Times New Roman"/>
        </w:rPr>
        <w:t xml:space="preserve">Jeżeli projekt dotyczy głębokiej modernizacji energetycznej zespołu budynków, dla możliwości jego sfinansowania z środków Pożyczki na efektywność energetyczną, wystarczające jest uzyskanie </w:t>
      </w:r>
      <w:r>
        <w:rPr>
          <w:rFonts w:eastAsia="Calibri" w:cs="Times New Roman"/>
        </w:rPr>
        <w:t>średniej oszczędności na poziomie nie mniej niż</w:t>
      </w:r>
      <w:r w:rsidRPr="00CC3F2D">
        <w:rPr>
          <w:rFonts w:eastAsia="Calibri" w:cs="Times New Roman"/>
        </w:rPr>
        <w:t xml:space="preserve"> 25 % dla tej grupy budynków</w:t>
      </w:r>
      <w:r>
        <w:rPr>
          <w:rFonts w:eastAsia="Calibri" w:cs="Times New Roman"/>
        </w:rPr>
        <w:t>;</w:t>
      </w:r>
    </w:p>
    <w:p w14:paraId="2E2CF713" w14:textId="77777777" w:rsidR="005F5324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nastąpi zmniejszenie emisji CO2 i innych zanieczyszczeń powietrza oraz dostosowanie do norm emisji zanieczyszczeń określonych w aktach wykonawczych do dyrektywy 2009/125/WE</w:t>
      </w:r>
      <w:r>
        <w:rPr>
          <w:rFonts w:eastAsia="Calibri" w:cs="Times New Roman"/>
        </w:rPr>
        <w:t>;</w:t>
      </w:r>
    </w:p>
    <w:p w14:paraId="0E0F5924" w14:textId="77777777" w:rsidR="005F5324" w:rsidRPr="00DB2A23" w:rsidRDefault="005F5324" w:rsidP="005F5324">
      <w:pPr>
        <w:widowControl w:val="0"/>
        <w:numPr>
          <w:ilvl w:val="0"/>
          <w:numId w:val="38"/>
        </w:numPr>
        <w:suppressAutoHyphens/>
        <w:autoSpaceDE w:val="0"/>
        <w:spacing w:before="120" w:after="120" w:line="240" w:lineRule="auto"/>
        <w:ind w:left="1065" w:hanging="35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8412AD">
        <w:rPr>
          <w:rFonts w:ascii="Calibri" w:hAnsi="Calibri" w:cs="Calibri"/>
          <w:color w:val="000000"/>
        </w:rPr>
        <w:t>wsparcie przyczyni się do przeciwdziałania ubóstwu energ</w:t>
      </w:r>
      <w:r>
        <w:rPr>
          <w:rFonts w:ascii="Calibri" w:hAnsi="Calibri" w:cs="Calibri"/>
          <w:color w:val="000000"/>
        </w:rPr>
        <w:t>etycznemu</w:t>
      </w:r>
      <w:r>
        <w:rPr>
          <w:rStyle w:val="Odwoanieprzypisudolnego"/>
          <w:rFonts w:ascii="Calibri" w:hAnsi="Calibri"/>
          <w:color w:val="000000"/>
        </w:rPr>
        <w:footnoteReference w:id="6"/>
      </w:r>
      <w:r>
        <w:rPr>
          <w:rFonts w:ascii="Calibri" w:hAnsi="Calibri" w:cs="Calibri"/>
          <w:color w:val="000000"/>
        </w:rPr>
        <w:t>.</w:t>
      </w:r>
    </w:p>
    <w:p w14:paraId="7DDB6742" w14:textId="77777777" w:rsidR="005F5324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przypadku podłączenia budynku do miejskiego systemu ciepłowniczego dodatkowo warunkiem uzyskania wsparcia będzie konieczność zastosowania indywidualnych liczników ciepła, ciepłej wody oraz chłodu. Istnieć będzie także obowiązek instalacji termostatów i zaworów podpionowych, jeżeli będzie to wynikać z przeprowadzonego audytu energetycznego. Powyższe wydatki będą stanowić koszt kwalifikowany.</w:t>
      </w:r>
    </w:p>
    <w:p w14:paraId="65153D1F" w14:textId="77777777" w:rsidR="005F5324" w:rsidRDefault="005F5324" w:rsidP="005F5324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eastAsia="Calibri" w:cs="Times New Roman"/>
        </w:rPr>
      </w:pPr>
      <w:r w:rsidRPr="00C55346">
        <w:rPr>
          <w:rFonts w:eastAsia="Calibri" w:cs="Times New Roman"/>
        </w:rPr>
        <w:t>Z Jednostkowej Pożyczki finansowane są wydatki w kwotach brutto tj. z podatkiem VAT, bez względu na to czy Ostateczny Odbiorca ma prawną możliwość odzyskania naliczonego podatku VAT.</w:t>
      </w:r>
    </w:p>
    <w:p w14:paraId="7AD6A8B2" w14:textId="77777777" w:rsidR="005F5324" w:rsidRPr="00EA28F5" w:rsidRDefault="005F5324" w:rsidP="005F532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Times New Roman"/>
        </w:rPr>
      </w:pPr>
      <w:r w:rsidRPr="00F93C7B">
        <w:rPr>
          <w:rFonts w:eastAsia="Calibri" w:cs="Times New Roman"/>
        </w:rPr>
        <w:t>Finansowanie z Jednostkowej Pożyczki można łączyć w ramach tego samego wydatku z innym finansowaniem, w tym finansowaniem z EFSI w formie dotacji lub instrumentów finansowych pod warunkiem, że finansowanie w ramach wszystkich połączonych form wsparcia nie przekracza całkowitej kwoty tego wydatku oraz spełnione są wszystkie mające zastosowanie z</w:t>
      </w:r>
      <w:r>
        <w:rPr>
          <w:rFonts w:eastAsia="Calibri" w:cs="Times New Roman"/>
        </w:rPr>
        <w:t>asady dotyczące pomocy państwa.</w:t>
      </w:r>
    </w:p>
    <w:p w14:paraId="590990A8" w14:textId="77777777" w:rsidR="005F5324" w:rsidRPr="00DB2A23" w:rsidRDefault="005F5324" w:rsidP="005F5324">
      <w:pPr>
        <w:spacing w:after="120" w:line="240" w:lineRule="auto"/>
        <w:rPr>
          <w:rFonts w:eastAsia="Calibri" w:cs="Times New Roman"/>
        </w:rPr>
      </w:pPr>
    </w:p>
    <w:p w14:paraId="5EFF64BB" w14:textId="77777777" w:rsidR="005F5324" w:rsidRPr="00DB2A23" w:rsidRDefault="005F5324" w:rsidP="005F5324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Calibri" w:cs="Times New Roman"/>
          <w:b/>
        </w:rPr>
      </w:pPr>
      <w:r w:rsidRPr="00DB2A23">
        <w:rPr>
          <w:rFonts w:eastAsia="Calibri" w:cs="Times New Roman"/>
          <w:b/>
        </w:rPr>
        <w:t>Ograniczenia w finansowaniu</w:t>
      </w:r>
    </w:p>
    <w:p w14:paraId="06C842C3" w14:textId="77777777" w:rsidR="005F5324" w:rsidRPr="00DB2A23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Nie kwalifikują się do wsparcia projekty zwiększające efektywność energetyczną (rozumianą jako oszczędność energii końcowej) poniżej 25%</w:t>
      </w:r>
      <w:r w:rsidRPr="00DB2A23">
        <w:t xml:space="preserve"> </w:t>
      </w:r>
      <w:r w:rsidRPr="00DB2A23">
        <w:rPr>
          <w:rFonts w:eastAsia="Calibri" w:cs="Times New Roman"/>
        </w:rPr>
        <w:t>w stosunku do stanu wyjściowego określonego w audycie energetycznym ex</w:t>
      </w:r>
      <w:r>
        <w:rPr>
          <w:rFonts w:eastAsia="Calibri" w:cs="Times New Roman"/>
        </w:rPr>
        <w:t>-</w:t>
      </w:r>
      <w:r w:rsidRPr="00DB2A23">
        <w:rPr>
          <w:rFonts w:eastAsia="Calibri" w:cs="Times New Roman"/>
        </w:rPr>
        <w:t>ante.</w:t>
      </w:r>
    </w:p>
    <w:p w14:paraId="4BB5EABC" w14:textId="77777777" w:rsidR="005F5324" w:rsidRPr="00DB2A23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zakresie wymiany indywidualnych źródeł ciepła projekty, które skutkują redukcją CO</w:t>
      </w:r>
      <w:r w:rsidRPr="00DB2A23">
        <w:rPr>
          <w:rFonts w:eastAsia="Calibri" w:cs="Times New Roman"/>
          <w:vertAlign w:val="subscript"/>
        </w:rPr>
        <w:t>2</w:t>
      </w:r>
      <w:r w:rsidRPr="00DB2A23">
        <w:rPr>
          <w:rFonts w:eastAsia="Calibri" w:cs="Times New Roman"/>
        </w:rPr>
        <w:t xml:space="preserve"> poniżej 30% w stosunku do stanu wyjściowego w istniejącej instalacji,</w:t>
      </w:r>
      <w:r w:rsidRPr="00DB2A23">
        <w:rPr>
          <w:rFonts w:eastAsia="Calibri" w:cs="Times New Roman"/>
          <w:color w:val="FF0000"/>
        </w:rPr>
        <w:t xml:space="preserve"> </w:t>
      </w:r>
      <w:r w:rsidRPr="00DB2A23">
        <w:rPr>
          <w:rFonts w:eastAsia="Calibri" w:cs="Times New Roman"/>
        </w:rPr>
        <w:t>określonego w audycie energetycznym ex</w:t>
      </w:r>
      <w:r>
        <w:rPr>
          <w:rFonts w:eastAsia="Calibri" w:cs="Times New Roman"/>
        </w:rPr>
        <w:t>-</w:t>
      </w:r>
      <w:r w:rsidRPr="00DB2A23">
        <w:rPr>
          <w:rFonts w:eastAsia="Calibri" w:cs="Times New Roman"/>
        </w:rPr>
        <w:t xml:space="preserve">ante oraz nie spełniają wymogów </w:t>
      </w:r>
      <w:r w:rsidRPr="00DB2A23">
        <w:t>dyrektywy 2009/125/WE</w:t>
      </w:r>
      <w:r w:rsidRPr="00DB2A23">
        <w:rPr>
          <w:rFonts w:eastAsia="Calibri" w:cs="Times New Roman"/>
        </w:rPr>
        <w:t>, nie kwalifikują się do wsparcia.</w:t>
      </w:r>
    </w:p>
    <w:p w14:paraId="1CFB1B78" w14:textId="77777777" w:rsidR="005F5324" w:rsidRDefault="005F5324" w:rsidP="005F5324">
      <w:pPr>
        <w:numPr>
          <w:ilvl w:val="0"/>
          <w:numId w:val="6"/>
        </w:numPr>
        <w:spacing w:before="120" w:after="120" w:line="240" w:lineRule="auto"/>
        <w:jc w:val="both"/>
        <w:rPr>
          <w:rFonts w:eastAsia="Calibri" w:cs="Times New Roman"/>
        </w:rPr>
      </w:pPr>
      <w:r w:rsidRPr="00DB2A23">
        <w:rPr>
          <w:rFonts w:eastAsia="Calibri" w:cs="Times New Roman"/>
        </w:rPr>
        <w:t>W przypadku wymiany lub likwidacji starego źródła ciepła (jako element projektu), wsparcie nie zostanie udzielone na użytkowane/eksploatowane wcześniej urządzenia grzewcze.</w:t>
      </w:r>
    </w:p>
    <w:p w14:paraId="68599705" w14:textId="77777777" w:rsidR="005F5324" w:rsidRPr="00F94DE0" w:rsidRDefault="005F5324" w:rsidP="005F53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eastAsia="Calibri" w:cs="Times New Roman"/>
        </w:rPr>
      </w:pPr>
      <w:r w:rsidRPr="00F94DE0">
        <w:rPr>
          <w:rFonts w:eastAsia="Calibri" w:cs="Times New Roman"/>
        </w:rPr>
        <w:t>Finansowanie zakupu gruntów niezabudowanych i zabudowanych w ramach finansowanej inwestycji możliwe jest do wysokości 10% środków wypłaconych na rzecz Ostatecznego Odbiorcy.</w:t>
      </w:r>
    </w:p>
    <w:p w14:paraId="50037F25" w14:textId="136B7CBF" w:rsidR="005F5324" w:rsidRPr="00DB2A23" w:rsidRDefault="005F5324" w:rsidP="005F5324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</w:pPr>
      <w:r w:rsidRPr="00DB2A23">
        <w:t xml:space="preserve">Jednostkowa </w:t>
      </w:r>
      <w:r>
        <w:t>P</w:t>
      </w:r>
      <w:r w:rsidRPr="00DB2A23">
        <w:t xml:space="preserve">ożyczka na efektywność energetyczną nie może być przeznaczona na: </w:t>
      </w:r>
    </w:p>
    <w:p w14:paraId="31319099" w14:textId="77777777" w:rsidR="005F5324" w:rsidRPr="00DB2A23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DB2A23">
        <w:rPr>
          <w:rFonts w:eastAsia="Calibri" w:cs="Times New Roman"/>
        </w:rPr>
        <w:lastRenderedPageBreak/>
        <w:t>finansowanie</w:t>
      </w:r>
      <w:r w:rsidRPr="00DB2A23">
        <w:t xml:space="preserve"> wydatków pokrytych uprzednio ze środków EFSI, z innych funduszy, programów, środków i instrumentów Unii Europejskiej lub innych źródeł pomocy krajowej lub zagranicznej;</w:t>
      </w:r>
    </w:p>
    <w:p w14:paraId="55851579" w14:textId="77777777" w:rsidR="005F5324" w:rsidRPr="00DB2A23" w:rsidRDefault="005F5324" w:rsidP="005F5324">
      <w:pPr>
        <w:pStyle w:val="Default"/>
        <w:numPr>
          <w:ilvl w:val="0"/>
          <w:numId w:val="39"/>
        </w:numPr>
        <w:spacing w:before="120" w:after="120"/>
        <w:jc w:val="both"/>
        <w:rPr>
          <w:rFonts w:asciiTheme="minorHAnsi" w:hAnsiTheme="minorHAnsi"/>
        </w:rPr>
      </w:pPr>
      <w:r w:rsidRPr="00DB2A23">
        <w:rPr>
          <w:rFonts w:asciiTheme="minorHAnsi" w:hAnsiTheme="minorHAnsi"/>
          <w:color w:val="auto"/>
          <w:sz w:val="22"/>
          <w:szCs w:val="22"/>
        </w:rPr>
        <w:t xml:space="preserve">finansowanie wydatków niezwiązanych bezpośrednio z </w:t>
      </w:r>
      <w:r>
        <w:rPr>
          <w:rFonts w:asciiTheme="minorHAnsi" w:hAnsiTheme="minorHAnsi"/>
          <w:color w:val="auto"/>
          <w:sz w:val="22"/>
          <w:szCs w:val="22"/>
        </w:rPr>
        <w:t xml:space="preserve">Celem Inwestycji </w:t>
      </w:r>
      <w:r w:rsidRPr="00DB2A23">
        <w:rPr>
          <w:rFonts w:asciiTheme="minorHAnsi" w:hAnsiTheme="minorHAnsi"/>
          <w:color w:val="auto"/>
          <w:sz w:val="22"/>
          <w:szCs w:val="22"/>
        </w:rPr>
        <w:t xml:space="preserve"> określonym w pkt. IV powyżej;</w:t>
      </w:r>
    </w:p>
    <w:p w14:paraId="6D959F44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55301">
        <w:t>prefinansowanie wydatków, na które otrzymano dofinansowanie w formie dotacji lub pomocy zwrotnej</w:t>
      </w:r>
      <w:r>
        <w:t>;</w:t>
      </w:r>
    </w:p>
    <w:p w14:paraId="200BEB84" w14:textId="77777777" w:rsidR="005F5324" w:rsidRPr="00F93C7B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F93C7B">
        <w:t>refinansowanie całości lub części wydatków, które na dzień złożenia wniosku o udzielenie Jednostkowej Pożyczki zostały już poniesione (tj. opłacone);</w:t>
      </w:r>
    </w:p>
    <w:p w14:paraId="0456EB84" w14:textId="77777777" w:rsidR="005F5324" w:rsidRPr="00DB2A23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DB2A23">
        <w:t>refinansowanie jakichkolwiek pożyczek</w:t>
      </w:r>
      <w:r>
        <w:t xml:space="preserve">, </w:t>
      </w:r>
      <w:r w:rsidRPr="00DB2A23">
        <w:t>kredytów</w:t>
      </w:r>
      <w:r>
        <w:t xml:space="preserve"> lub rat leasingowych</w:t>
      </w:r>
      <w:r w:rsidRPr="00DB2A23">
        <w:t>;</w:t>
      </w:r>
    </w:p>
    <w:p w14:paraId="1595E226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>
        <w:t xml:space="preserve">dokonanie </w:t>
      </w:r>
      <w:r w:rsidRPr="00DB2A23">
        <w:t>spłat</w:t>
      </w:r>
      <w:r>
        <w:t>y</w:t>
      </w:r>
      <w:r w:rsidRPr="00DB2A23">
        <w:t xml:space="preserve"> zobowiązań publiczno</w:t>
      </w:r>
      <w:r>
        <w:t>-</w:t>
      </w:r>
      <w:r w:rsidRPr="00DB2A23">
        <w:t>prawnych Ostatecznego Odbiorcy;</w:t>
      </w:r>
    </w:p>
    <w:p w14:paraId="32119250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zakupu aktywów finansowych przeznaczonych do obrotu</w:t>
      </w:r>
      <w:r>
        <w:t xml:space="preserve"> </w:t>
      </w:r>
      <w:r w:rsidRPr="00F93C7B">
        <w:t>lub stanowiące lokatę kapitału</w:t>
      </w:r>
      <w:r>
        <w:t>;</w:t>
      </w:r>
    </w:p>
    <w:p w14:paraId="6726DDFA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zakupu nieruchomości przeznaczonych do obrotu</w:t>
      </w:r>
      <w:r>
        <w:t>;</w:t>
      </w:r>
    </w:p>
    <w:p w14:paraId="591EB4A2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 w:rsidRPr="001F063B">
        <w:t>finansowanie kształcenia, szkolenia, szkolenia zawodowego pracowników lub innych przedsięwzięć bezpośrednio objętych zakresem rozporządzenia Parlamentu Europejskiego i Rady (UE) nr 1304/2013 w sprawie Europejskiego Funduszu Społecznego</w:t>
      </w:r>
      <w:r>
        <w:t>;</w:t>
      </w:r>
    </w:p>
    <w:p w14:paraId="0A048B83" w14:textId="77777777" w:rsidR="005F5324" w:rsidRDefault="005F5324" w:rsidP="005F5324">
      <w:pPr>
        <w:numPr>
          <w:ilvl w:val="0"/>
          <w:numId w:val="39"/>
        </w:numPr>
        <w:spacing w:before="120" w:after="120" w:line="240" w:lineRule="auto"/>
        <w:jc w:val="both"/>
      </w:pPr>
      <w:r>
        <w:t xml:space="preserve">finansowanie </w:t>
      </w:r>
      <w:r w:rsidRPr="001F063B">
        <w:t>działalności w zakresie wytwarzania, przetwórstwa lub wprowadzania do obrotu przez producenta lub importera tytoniu i wyrobów tytoniowych;</w:t>
      </w:r>
    </w:p>
    <w:p w14:paraId="6B68E034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napojów alkoholowych;</w:t>
      </w:r>
    </w:p>
    <w:p w14:paraId="316E0CE6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treści pornograficznych;</w:t>
      </w:r>
    </w:p>
    <w:p w14:paraId="65F19D82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 xml:space="preserve">finansowanie działalności w zakresie obrotu materiałami wybuchowymi, bronią </w:t>
      </w:r>
      <w:r w:rsidRPr="00CC3F2D">
        <w:br/>
        <w:t>i amunicją;</w:t>
      </w:r>
    </w:p>
    <w:p w14:paraId="013468C9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gier losowych, zakładów wzajemnych, gier na automatach i gier na automatach o niskich wygranych;</w:t>
      </w:r>
    </w:p>
    <w:p w14:paraId="52A4915A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działalności w zakresie produkcji lub wprowadzania do obrotu przez producenta lub importera środków odurzających, substancji psychotropowych lub prekursorów;</w:t>
      </w:r>
    </w:p>
    <w:p w14:paraId="0E691B97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>finansowanie likwidacji lub budowy elektrowni jądrowych;</w:t>
      </w:r>
    </w:p>
    <w:p w14:paraId="71543264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>
        <w:t xml:space="preserve">finansowanie inwestycji na rzecz redukcji emisji gazów cieplarnianych pochodzących </w:t>
      </w:r>
      <w:r w:rsidRPr="00CC3F2D">
        <w:br/>
        <w:t>z listy działań wymienionych w załączniku I do dyrektywy 2003/87/WE;</w:t>
      </w:r>
    </w:p>
    <w:p w14:paraId="461E0B8E" w14:textId="77777777" w:rsidR="005F5324" w:rsidRPr="00CC3F2D" w:rsidRDefault="005F5324" w:rsidP="005F5324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jc w:val="both"/>
      </w:pPr>
      <w:r w:rsidRPr="00CC3F2D" w:rsidDel="00955C73">
        <w:t xml:space="preserve"> </w:t>
      </w:r>
      <w:r w:rsidRPr="00CC3F2D"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7A84E63E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 xml:space="preserve">Rodzaj podmiotów, </w:t>
      </w:r>
      <w:r w:rsidRPr="005F5324">
        <w:rPr>
          <w:rFonts w:ascii="Calibri" w:eastAsia="Calibri" w:hAnsi="Calibri" w:cs="Times New Roman"/>
          <w:b/>
          <w:bCs/>
        </w:rPr>
        <w:t>które mogą ubiegać się o Jednostkową Pożyczkę</w:t>
      </w:r>
    </w:p>
    <w:p w14:paraId="5781D0DB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Spółdzielnie mieszkaniowe, działające na podstawie ustawy z dnia 16 września 1982 r. – Prawo spółdzielcze oraz ustawy z dnia 15 grudnia 2000 r. o spółdzielniach mieszkaniowych, posiadające osobowość prawną. Zarówno pod względem podmiotowym, jak i z uwagi na przedmiot działalności spółdzielnia mieszkaniowa </w:t>
      </w:r>
      <w:r w:rsidRPr="005F5324">
        <w:rPr>
          <w:rFonts w:ascii="Calibri" w:eastAsia="Calibri" w:hAnsi="Calibri" w:cs="Times New Roman"/>
          <w:u w:val="single"/>
        </w:rPr>
        <w:t>spełnia przesłanki przedsiębiorstwa</w:t>
      </w:r>
      <w:r w:rsidRPr="005F5324">
        <w:rPr>
          <w:rFonts w:ascii="Calibri" w:eastAsia="Calibri" w:hAnsi="Calibri" w:cs="Times New Roman"/>
        </w:rPr>
        <w:t xml:space="preserve"> w rozumieniu rozporządzenia Komisji (UE) nr 651/2014 z dn. 17 czerwca 2014 r. </w:t>
      </w:r>
      <w:r w:rsidRPr="005F5324">
        <w:rPr>
          <w:rFonts w:ascii="Calibri" w:eastAsia="Calibri" w:hAnsi="Calibri" w:cs="Times New Roman"/>
          <w:i/>
        </w:rPr>
        <w:t xml:space="preserve">uznającego niektóre rodzaje </w:t>
      </w:r>
      <w:r w:rsidRPr="005F5324">
        <w:rPr>
          <w:rFonts w:ascii="Calibri" w:eastAsia="Calibri" w:hAnsi="Calibri" w:cs="Times New Roman"/>
          <w:i/>
        </w:rPr>
        <w:lastRenderedPageBreak/>
        <w:t>pomocy za zgodne z rynkiem wewnętrznym w zastosowaniu art.107 i 108 Traktatu</w:t>
      </w:r>
      <w:r w:rsidRPr="005F5324">
        <w:rPr>
          <w:rFonts w:ascii="Calibri" w:eastAsia="Calibri" w:hAnsi="Calibri" w:cs="Times New Roman"/>
        </w:rPr>
        <w:t xml:space="preserve">  (Załącznik I, art. 1);</w:t>
      </w:r>
    </w:p>
    <w:p w14:paraId="2A3656F9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Wspólnoty mieszkaniowe – jednostki organizacyjne nieposiadające osobowości prawnej, działające na podstawie Ustawy o własności lokali, tworzone przez właścicieli lokali wchodzących w skład określonej nieruchomości;</w:t>
      </w:r>
      <w:r w:rsidRPr="005F5324">
        <w:rPr>
          <w:rFonts w:ascii="Calibri" w:eastAsia="Calibri" w:hAnsi="Calibri" w:cs="Times New Roman"/>
          <w:color w:val="FF0000"/>
        </w:rPr>
        <w:t xml:space="preserve"> </w:t>
      </w:r>
      <w:r w:rsidRPr="005F5324">
        <w:rPr>
          <w:rFonts w:ascii="Calibri" w:eastAsia="Calibri" w:hAnsi="Calibri" w:cs="Times New Roman"/>
        </w:rPr>
        <w:t xml:space="preserve">wspólnota mieszkaniowa może, w określonych warunkach, spełniać wymogi definicji przedsiębiorstwa w rozumieniu prawa unijnego (rozporządzenia Komisji (UE) nr 651/2014 z dn. 17 czerwca 2014 r. </w:t>
      </w:r>
      <w:r w:rsidRPr="005F5324">
        <w:rPr>
          <w:rFonts w:ascii="Calibri" w:eastAsia="Calibri" w:hAnsi="Calibri" w:cs="Times New Roman"/>
          <w:i/>
        </w:rPr>
        <w:t>uznającego niektóre rodzaje pomocy za zgodne z rynkiem wewnętrznym w zastosowaniu art.107 i 108 Traktatu</w:t>
      </w:r>
      <w:r w:rsidRPr="005F5324">
        <w:rPr>
          <w:rFonts w:ascii="Calibri" w:eastAsia="Calibri" w:hAnsi="Calibri" w:cs="Times New Roman"/>
        </w:rPr>
        <w:t xml:space="preserve"> (Załącznik I, art. 1);</w:t>
      </w:r>
    </w:p>
    <w:p w14:paraId="01B35A24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Towarzystwa Budownictwa Społecznego działające na podstawie obowiązujących przepisów prawa, a w szczególności na podstawie:</w:t>
      </w:r>
    </w:p>
    <w:p w14:paraId="5895B5B9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26 października 1995 r. </w:t>
      </w:r>
      <w:r w:rsidRPr="005F5324">
        <w:rPr>
          <w:rFonts w:ascii="Calibri" w:eastAsia="Calibri" w:hAnsi="Calibri" w:cs="Times New Roman"/>
          <w:i/>
        </w:rPr>
        <w:t>o niektórych formach popierania budownictwa mieszkaniowego</w:t>
      </w:r>
      <w:r w:rsidRPr="005F5324">
        <w:rPr>
          <w:rFonts w:ascii="Calibri" w:eastAsia="Calibri" w:hAnsi="Calibri" w:cs="Times New Roman"/>
        </w:rPr>
        <w:t xml:space="preserve"> (t.j. Dz.U. z 2018 poz. 1020 ); </w:t>
      </w:r>
    </w:p>
    <w:p w14:paraId="02695F37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ustawy z dnia 21 czerwca 2001 r. o</w:t>
      </w:r>
      <w:r w:rsidRPr="005F5324">
        <w:rPr>
          <w:rFonts w:ascii="Calibri" w:eastAsia="Calibri" w:hAnsi="Calibri" w:cs="Times New Roman"/>
          <w:i/>
        </w:rPr>
        <w:t xml:space="preserve"> ochronie praw lokatorów, mieszkaniowym zasobie gminy i o zmianie Kodeksu cywilnego</w:t>
      </w:r>
      <w:r w:rsidRPr="005F5324">
        <w:rPr>
          <w:rFonts w:ascii="Calibri" w:eastAsia="Calibri" w:hAnsi="Calibri" w:cs="Times New Roman"/>
        </w:rPr>
        <w:t xml:space="preserve"> (t.j. Dz.U. 2016 poz. 1610 z późn. zm.); </w:t>
      </w:r>
    </w:p>
    <w:p w14:paraId="1F7685C4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15 września 2000 r. Kodeks spółek handlowych (t.j. Dz.U. </w:t>
      </w:r>
      <w:r w:rsidRPr="005F5324">
        <w:rPr>
          <w:rFonts w:ascii="Calibri" w:eastAsia="Times New Roman" w:hAnsi="Calibri" w:cs="Calibri"/>
          <w:lang w:eastAsia="pl-PL"/>
        </w:rPr>
        <w:t>z 2017 r. poz. 1577 z późn.zm.</w:t>
      </w:r>
      <w:r w:rsidRPr="005F5324">
        <w:rPr>
          <w:rFonts w:ascii="Calibri" w:eastAsia="Calibri" w:hAnsi="Calibri" w:cs="Times New Roman"/>
        </w:rPr>
        <w:t xml:space="preserve">) lub ustawy z dnia 16 września 1982 r. – Prawo spółdzielcze </w:t>
      </w:r>
      <w:r w:rsidRPr="005F5324">
        <w:rPr>
          <w:rFonts w:ascii="Calibri" w:eastAsia="Calibri" w:hAnsi="Calibri" w:cs="Calibri"/>
        </w:rPr>
        <w:t xml:space="preserve">(t.j. </w:t>
      </w:r>
      <w:r w:rsidRPr="005F5324">
        <w:rPr>
          <w:rFonts w:ascii="Calibri" w:eastAsia="Times New Roman" w:hAnsi="Calibri" w:cs="Calibri"/>
          <w:lang w:eastAsia="pl-PL"/>
        </w:rPr>
        <w:t>Dz. U. z 2017 r. poz. 1560 z późn.zm.)</w:t>
      </w:r>
      <w:r w:rsidRPr="005F5324">
        <w:rPr>
          <w:rFonts w:ascii="Calibri" w:eastAsia="Calibri" w:hAnsi="Calibri" w:cs="Calibri"/>
        </w:rPr>
        <w:t xml:space="preserve">; </w:t>
      </w:r>
    </w:p>
    <w:p w14:paraId="20F6804E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ustawy z dnia 23 kwietnia 1964 r. Kodeks cywilny (t.j. Dz.U. z 2018, poz. 1025 z późn.zm.); </w:t>
      </w:r>
    </w:p>
    <w:p w14:paraId="2BA5017C" w14:textId="77777777" w:rsidR="005F5324" w:rsidRPr="005F5324" w:rsidRDefault="005F5324" w:rsidP="005F5324">
      <w:pPr>
        <w:numPr>
          <w:ilvl w:val="0"/>
          <w:numId w:val="40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ustawy z dnia 20 grudnia 1996 r. o gospodarce komunalnej (t.j. Dz.U. z 2017, poz. 827).</w:t>
      </w:r>
    </w:p>
    <w:p w14:paraId="7436C105" w14:textId="77777777" w:rsidR="005F5324" w:rsidRPr="005F5324" w:rsidRDefault="005F5324" w:rsidP="005F5324">
      <w:pPr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Jednostki samorządu terytorialnego i podległe im podmioty, będące właścicielami bądź współwłaścicielami budynków mieszkalnych (w zakresie budynków komunalnych).</w:t>
      </w:r>
    </w:p>
    <w:p w14:paraId="7397C7E3" w14:textId="77777777" w:rsidR="005F5324" w:rsidRPr="005F5324" w:rsidRDefault="005F5324" w:rsidP="005F5324">
      <w:pPr>
        <w:spacing w:before="120" w:after="120" w:line="240" w:lineRule="auto"/>
        <w:ind w:left="720"/>
        <w:jc w:val="both"/>
        <w:rPr>
          <w:rFonts w:ascii="Calibri" w:eastAsia="Calibri" w:hAnsi="Calibri" w:cs="Times New Roman"/>
        </w:rPr>
      </w:pPr>
    </w:p>
    <w:p w14:paraId="20DC3F09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>Ostateczni Odbiorcy ubiegający się o Jednostkową Pożyczkę muszą spełniać łącznie następujące kryteria:</w:t>
      </w:r>
    </w:p>
    <w:p w14:paraId="3C6B0194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znajdują się w trudnej sytuacji w rozumieniu pkt 20 </w:t>
      </w:r>
      <w:r w:rsidRPr="005F5324">
        <w:rPr>
          <w:rFonts w:ascii="Calibri" w:eastAsia="Calibri" w:hAnsi="Calibri" w:cs="Times New Roman"/>
          <w:i/>
        </w:rPr>
        <w:t xml:space="preserve">Wytycznych dotyczących pomocy państwa na ratowanie i restrukturyzację przedsiębiorstw niefinansowych znajdujących się w trudnej sytuacji </w:t>
      </w:r>
      <w:r w:rsidRPr="005F5324">
        <w:rPr>
          <w:rFonts w:ascii="Calibri" w:eastAsia="Calibri" w:hAnsi="Calibri" w:cs="Times New Roman"/>
        </w:rPr>
        <w:t>(Dz. Urz. UE C 249/1 z 31.07.2014 r.);</w:t>
      </w:r>
    </w:p>
    <w:p w14:paraId="70286547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ciąży na nich obowiązek zwrotu pomocy, wynikający z decyzji Komisji Europejskiej uznającej pomoc za niezgodną z prawem oraz ze wspólnym rynkiem lub orzeczenia sądu krajowego lub unijnego,</w:t>
      </w:r>
    </w:p>
    <w:p w14:paraId="58C23ED1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nie znajdują się w trakcie likwidacji, postepowania upadłościowego, naprawczego lub pod zarządem komisarycznym;</w:t>
      </w:r>
    </w:p>
    <w:p w14:paraId="2EF0B2AA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są podmiotem karanym na mocy zapisów ustawy z dnia 15 czerwca 2012 r. </w:t>
      </w:r>
      <w:r w:rsidRPr="005F5324">
        <w:rPr>
          <w:rFonts w:ascii="Calibri" w:eastAsia="Calibri" w:hAnsi="Calibri" w:cs="Times New Roman"/>
          <w:i/>
        </w:rPr>
        <w:t>o skutkach powierzenia wykonywania pracy cudzoziemcom przebywającym wbrew przepisom na terytorium Rzeczypospolitej Polskiej</w:t>
      </w:r>
      <w:r w:rsidRPr="005F5324">
        <w:rPr>
          <w:rFonts w:ascii="Calibri" w:eastAsia="Calibri" w:hAnsi="Calibri" w:cs="Times New Roman"/>
        </w:rPr>
        <w:t xml:space="preserve"> (t.j. Dz. U. z 2012 r. poz. 769 z późn.zm.), </w:t>
      </w:r>
    </w:p>
    <w:p w14:paraId="6302FC52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są podmiotem z zakazem dostępu do środków, o których mowa w art. 5 ust. 3 pkt. 1 i 4 Ustawy z dnia 27 sierpnia 2009 r. o finansach publicznych (t.j. </w:t>
      </w:r>
      <w:r w:rsidRPr="005F5324">
        <w:rPr>
          <w:rFonts w:ascii="Calibri" w:eastAsia="Times New Roman" w:hAnsi="Calibri" w:cs="Calibri"/>
          <w:lang w:eastAsia="pl-PL"/>
        </w:rPr>
        <w:t xml:space="preserve">Dz. U. z 2019 r. poz. 869 </w:t>
      </w:r>
      <w:r w:rsidRPr="005F5324">
        <w:rPr>
          <w:rFonts w:ascii="Calibri" w:eastAsia="Calibri" w:hAnsi="Calibri" w:cs="Times New Roman"/>
        </w:rPr>
        <w:t>).</w:t>
      </w:r>
    </w:p>
    <w:p w14:paraId="0496CA75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nie orzeczono zakazu dostępu do środków funduszy europejskich na podstawie art. 207 ust. 4 ustawy z dnia 27 sierpnia 2009 r. o finansach publicznych (t.j. </w:t>
      </w:r>
      <w:r w:rsidRPr="005F5324">
        <w:rPr>
          <w:rFonts w:ascii="Calibri" w:eastAsia="Times New Roman" w:hAnsi="Calibri" w:cs="Calibri"/>
          <w:lang w:eastAsia="pl-PL"/>
        </w:rPr>
        <w:t>Dz. U. z 2019 r. poz. 869)</w:t>
      </w:r>
      <w:r w:rsidRPr="005F5324">
        <w:rPr>
          <w:rFonts w:ascii="Calibri" w:eastAsia="Calibri" w:hAnsi="Calibri" w:cs="Times New Roman"/>
        </w:rPr>
        <w:t>;</w:t>
      </w:r>
    </w:p>
    <w:p w14:paraId="27E196DD" w14:textId="77777777" w:rsidR="005F5324" w:rsidRPr="005F5324" w:rsidRDefault="005F5324" w:rsidP="005F5324">
      <w:pPr>
        <w:numPr>
          <w:ilvl w:val="0"/>
          <w:numId w:val="42"/>
        </w:numPr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5F5324">
        <w:rPr>
          <w:rFonts w:ascii="Calibri" w:eastAsia="Calibri" w:hAnsi="Calibri" w:cs="Times New Roman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</w:t>
      </w:r>
      <w:r w:rsidRPr="005F5324">
        <w:rPr>
          <w:rFonts w:ascii="Calibri" w:eastAsia="Calibri" w:hAnsi="Calibri" w:cs="Times New Roman"/>
        </w:rPr>
        <w:lastRenderedPageBreak/>
        <w:t xml:space="preserve">przepisom na terenie RP, art. 9, ust. 1 pt. 2 a ustawy o odpowiedzialności podmiotów zbiorowych za czyny zabronione pod groźbą kary; </w:t>
      </w:r>
      <w:r w:rsidRPr="005F5324">
        <w:rPr>
          <w:rFonts w:ascii="Calibri" w:eastAsia="Times New Roman" w:hAnsi="Calibri" w:cs="Calibri"/>
          <w:lang w:eastAsia="pl-PL"/>
        </w:rPr>
        <w:t>nie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</w:t>
      </w:r>
      <w:r w:rsidRPr="005F5324">
        <w:rPr>
          <w:rFonts w:ascii="Calibri" w:eastAsia="Calibri" w:hAnsi="Calibri" w:cs="Times New Roman"/>
        </w:rPr>
        <w:t>.</w:t>
      </w:r>
    </w:p>
    <w:p w14:paraId="14656425" w14:textId="77777777" w:rsidR="005F5324" w:rsidRPr="005F5324" w:rsidRDefault="005F5324" w:rsidP="005F5324">
      <w:pPr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Calibri" w:eastAsia="Calibri" w:hAnsi="Calibri" w:cs="Times New Roman"/>
          <w:b/>
        </w:rPr>
      </w:pPr>
      <w:r w:rsidRPr="005F5324">
        <w:rPr>
          <w:rFonts w:ascii="Calibri" w:eastAsia="Calibri" w:hAnsi="Calibri" w:cs="Times New Roman"/>
          <w:b/>
        </w:rPr>
        <w:t>Zasady odpłatności za udzielenie Jednostkowych Pożyczek</w:t>
      </w:r>
    </w:p>
    <w:p w14:paraId="10BF9A57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Jednostkowe Pożyczki udzielane Ostatecznym Odbiorcom przez Pośrednika Finansowego oprocentowane są na warunkach korzystniejszych niż rynkowe, tj. preferencyjnych, z zastrzeżeniem pkt IX. 12.</w:t>
      </w:r>
    </w:p>
    <w:p w14:paraId="2190A63E" w14:textId="1D9D562D" w:rsidR="005F5324" w:rsidRPr="00C72A9E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C72A9E">
        <w:rPr>
          <w:rFonts w:ascii="Calibri" w:eastAsia="Calibri" w:hAnsi="Calibri" w:cs="Times New Roman"/>
        </w:rPr>
        <w:t>W zależności od przedmiotu projektu, statusu/formy prawnej Ostatecznego Odbiorcy, Jednostkowe Pożyczki mogą stanowić pomoc publiczną</w:t>
      </w:r>
      <w:r w:rsidR="008B4E07" w:rsidRPr="00C72A9E">
        <w:rPr>
          <w:rFonts w:ascii="Calibri" w:eastAsia="Calibri" w:hAnsi="Calibri" w:cs="Times New Roman"/>
        </w:rPr>
        <w:t>, pomoc de minimis</w:t>
      </w:r>
      <w:r w:rsidRPr="00C72A9E">
        <w:rPr>
          <w:rFonts w:ascii="Calibri" w:eastAsia="Calibri" w:hAnsi="Calibri" w:cs="Times New Roman"/>
        </w:rPr>
        <w:t xml:space="preserve"> lub mogą zostać udzielone bez pomocy. Przy udzielaniu Jednostkowej Pożyczki dopuszczalne są następujące formy pomocy</w:t>
      </w:r>
      <w:r w:rsidRPr="00C72A9E">
        <w:rPr>
          <w:rFonts w:ascii="Calibri" w:eastAsia="Calibri" w:hAnsi="Calibri" w:cs="Times New Roman"/>
          <w:vertAlign w:val="superscript"/>
        </w:rPr>
        <w:footnoteReference w:id="7"/>
      </w:r>
      <w:r w:rsidRPr="00C72A9E">
        <w:rPr>
          <w:rFonts w:ascii="Calibri" w:eastAsia="Calibri" w:hAnsi="Calibri" w:cs="Times New Roman"/>
        </w:rPr>
        <w:t>:</w:t>
      </w:r>
    </w:p>
    <w:p w14:paraId="45465990" w14:textId="77777777" w:rsidR="005F5324" w:rsidRPr="005F5324" w:rsidRDefault="005F5324" w:rsidP="005F5324">
      <w:pPr>
        <w:numPr>
          <w:ilvl w:val="1"/>
          <w:numId w:val="45"/>
        </w:numPr>
        <w:spacing w:before="120" w:after="120" w:line="240" w:lineRule="auto"/>
        <w:ind w:left="1418" w:hanging="709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Pomoc inwestycyjna podlegająca wyłączeniom blokowym – na podstawie Rozporządzenia Ministra Infrastruktury i Rozwoju z dnia 28 sierpnia 2015 r.</w:t>
      </w:r>
      <w:r w:rsidRPr="005F5324">
        <w:rPr>
          <w:rFonts w:ascii="Calibri" w:eastAsia="Calibri" w:hAnsi="Calibri" w:cs="Times New Roman"/>
          <w:i/>
        </w:rPr>
        <w:t xml:space="preserve"> 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</w:t>
      </w:r>
      <w:r w:rsidRPr="005F5324">
        <w:rPr>
          <w:rFonts w:ascii="Calibri" w:eastAsia="Calibri" w:hAnsi="Calibri" w:cs="Times New Roman"/>
          <w:i/>
        </w:rPr>
        <w:t xml:space="preserve">, </w:t>
      </w:r>
      <w:r w:rsidRPr="005F5324">
        <w:rPr>
          <w:rFonts w:ascii="Calibri" w:eastAsia="Calibri" w:hAnsi="Calibri" w:cs="Times New Roman"/>
        </w:rPr>
        <w:t>do którego zastosowanie mają zapisy Rozporządzenia Komisji Europejskiej (UE) NR 651/2014 z dnia 17 czerwca 2014 r.</w:t>
      </w:r>
      <w:r w:rsidRPr="005F5324">
        <w:rPr>
          <w:rFonts w:ascii="Calibri" w:eastAsia="Calibri" w:hAnsi="Calibri" w:cs="Times New Roman"/>
          <w:i/>
        </w:rPr>
        <w:t xml:space="preserve"> uznającego niektóre rodzaje pomocy za zgodne z rynkiem wewnętrznym w zastosowaniu art. 107 i 108 Traktatu </w:t>
      </w:r>
      <w:r w:rsidRPr="005F5324">
        <w:rPr>
          <w:rFonts w:ascii="Calibri" w:eastAsia="Calibri" w:hAnsi="Calibri" w:cs="Times New Roman"/>
        </w:rPr>
        <w:t>oraz;</w:t>
      </w:r>
    </w:p>
    <w:p w14:paraId="36E6B644" w14:textId="77777777" w:rsidR="005F5324" w:rsidRPr="005F5324" w:rsidRDefault="005F5324" w:rsidP="005F5324">
      <w:pPr>
        <w:numPr>
          <w:ilvl w:val="1"/>
          <w:numId w:val="45"/>
        </w:numPr>
        <w:spacing w:before="120" w:after="120" w:line="240" w:lineRule="auto"/>
        <w:ind w:left="1418" w:hanging="709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Times New Roman"/>
        </w:rPr>
        <w:t xml:space="preserve">Pożyczki w formie pomocy </w:t>
      </w:r>
      <w:r w:rsidRPr="005F5324">
        <w:rPr>
          <w:rFonts w:ascii="Calibri" w:eastAsia="Calibri" w:hAnsi="Calibri" w:cs="Times New Roman"/>
          <w:i/>
        </w:rPr>
        <w:t xml:space="preserve">de minimis </w:t>
      </w:r>
      <w:r w:rsidRPr="005F5324">
        <w:rPr>
          <w:rFonts w:ascii="Calibri" w:eastAsia="Calibri" w:hAnsi="Calibri" w:cs="Times New Roman"/>
        </w:rPr>
        <w:t xml:space="preserve"> - w rozumieniu </w:t>
      </w:r>
      <w:r w:rsidRPr="005F5324">
        <w:rPr>
          <w:rFonts w:ascii="Calibri" w:eastAsia="Calibri" w:hAnsi="Calibri" w:cs="Arial"/>
        </w:rPr>
        <w:t xml:space="preserve">Rozporządzenia Komisji (UE) nr 1407/2013 z dnia 18 grudnia 2013 r. </w:t>
      </w:r>
      <w:r w:rsidRPr="005F5324">
        <w:rPr>
          <w:rFonts w:ascii="Calibri" w:eastAsia="Calibri" w:hAnsi="Calibri" w:cs="Arial"/>
          <w:i/>
        </w:rPr>
        <w:t xml:space="preserve">w sprawie stosowania art. 107 i 108 Traktatu o funkcjonowaniu Unii Europejskiej do pomocy de minimis </w:t>
      </w:r>
      <w:r w:rsidRPr="005F5324">
        <w:rPr>
          <w:rFonts w:ascii="Calibri" w:eastAsia="Calibri" w:hAnsi="Calibri" w:cs="Arial"/>
        </w:rPr>
        <w:t>oraz Rozporządzenia Ministra Infrastruktury i Rozwoju z dnia 19 marca 2015 r.</w:t>
      </w:r>
      <w:r w:rsidRPr="005F5324">
        <w:rPr>
          <w:rFonts w:ascii="Calibri" w:eastAsia="Calibri" w:hAnsi="Calibri" w:cs="Arial"/>
          <w:i/>
        </w:rPr>
        <w:t xml:space="preserve"> w sprawie udzielania pomocy de minimis w ramach regionalnych programów operacyjnych na lata 2014–2020 (</w:t>
      </w:r>
      <w:r w:rsidRPr="005F5324">
        <w:rPr>
          <w:rFonts w:ascii="Calibri" w:eastAsia="Calibri" w:hAnsi="Calibri" w:cs="Arial"/>
        </w:rPr>
        <w:t>Dz.U. 2015 poz. 488 z późn. zm.).</w:t>
      </w:r>
    </w:p>
    <w:p w14:paraId="4BEB1715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Arial"/>
        </w:rPr>
        <w:t xml:space="preserve">Formy pomocy, o których mowa w ppkt 2.1 i 2.2 mogą być łączone w ramach Projektu, przy zachowaniu zasad kumulacji określonych w art. 8 Rozporządzenia Komisji Europejskiej (UE) nr 651/2014 z dnia 17 czerwca 2014 r. </w:t>
      </w:r>
      <w:r w:rsidRPr="005F5324">
        <w:rPr>
          <w:rFonts w:ascii="Calibri" w:eastAsia="Calibri" w:hAnsi="Calibri" w:cs="Arial"/>
          <w:i/>
        </w:rPr>
        <w:t>uznającego niektóre rodzaje pomocy za zgodne z rynkiem wewnętrznym w zastosowaniu art. 107 i 108 Traktatu</w:t>
      </w:r>
      <w:r w:rsidRPr="005F5324">
        <w:rPr>
          <w:rFonts w:ascii="Calibri" w:eastAsia="Calibri" w:hAnsi="Calibri" w:cs="Arial"/>
        </w:rPr>
        <w:t>.</w:t>
      </w:r>
    </w:p>
    <w:p w14:paraId="14E16C4E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Arial"/>
        </w:rPr>
        <w:t>Wartość pomocy publicznej stanowi ekwiwalent dotacji brutto pomocy, obliczonej zgodnie z Rozporządzeniem Rady Ministrów z dnia 11 sierpnia 2004 r. w sprawie szczegółowego sposobu obliczania wartości pomocy publicznej udzielanej w różnych formach.</w:t>
      </w:r>
    </w:p>
    <w:p w14:paraId="2704A07D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Calibri" w:eastAsia="Times New Roman" w:hAnsi="Calibri" w:cs="Calibri"/>
          <w:lang w:eastAsia="pl-PL"/>
        </w:rPr>
        <w:t xml:space="preserve">Pomoc o której mowa w ppkt. 2.1 powyżej może zostać udzielona pod warunkiem, że Pośrednik Finansowy dokonał weryfikacji dopuszczalności udzielenia tej pomocy, zgodnie ze stosownymi </w:t>
      </w:r>
      <w:r w:rsidRPr="005F5324">
        <w:rPr>
          <w:rFonts w:ascii="Calibri" w:eastAsia="Times New Roman" w:hAnsi="Calibri" w:cs="Calibri"/>
          <w:lang w:eastAsia="pl-PL"/>
        </w:rPr>
        <w:lastRenderedPageBreak/>
        <w:t xml:space="preserve">przepisami Rozporządzenia Komisji Europejskiej (UE) nr 651/2014 z dnia 17 czerwca 2014 r. W szczególności, jeżeli odpowiednie przepisy tego Rozporządzenia, stawiają dodatkowe warunki udzielenia pomocy publicznej, które są bardziej restrykcyjne w stosunku do postanowień niniejszej Metryki lub Umowy Operacyjnej,  zapisy Rozporządzenia mają pierwszeństwo stosowania do udzielenia danej Jednostkowej Pożyczki, a Pośrednik Finansowy zobowiązany jest do ich stosowania. </w:t>
      </w:r>
    </w:p>
    <w:p w14:paraId="778D9F11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 xml:space="preserve">Rodzaj oraz intensywność pomocy publicznej określana jest przez Pośrednika Finansowego na podstawie zakresu inwestycji Ostatecznego Odbiorcy w oparciu o </w:t>
      </w:r>
      <w:r w:rsidRPr="005F5324">
        <w:rPr>
          <w:rFonts w:ascii="Calibri" w:eastAsia="Calibri" w:hAnsi="Calibri" w:cs="Times New Roman"/>
          <w:i/>
        </w:rPr>
        <w:t xml:space="preserve">Rozporządzenie Ministra Infrastruktury i Rozwoju z dnia 28 sierpnia 2015 r. 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1363).</w:t>
      </w:r>
    </w:p>
    <w:p w14:paraId="0F1C5035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Arial"/>
        </w:rPr>
      </w:pPr>
      <w:r w:rsidRPr="005F5324">
        <w:rPr>
          <w:rFonts w:ascii="Calibri" w:eastAsia="Calibri" w:hAnsi="Calibri" w:cs="Times New Roman"/>
        </w:rPr>
        <w:t>W przypadku Jednostkowych Pożyczek udzielanych w formie pomocy inwestycyjnej, Ostateczny Odbiorca zobowiązany jest do zapewnienia wkładu własnego</w:t>
      </w:r>
      <w:r w:rsidRPr="005F5324">
        <w:rPr>
          <w:rFonts w:ascii="Calibri" w:eastAsia="Calibri" w:hAnsi="Calibri" w:cs="Times New Roman"/>
          <w:vertAlign w:val="superscript"/>
        </w:rPr>
        <w:footnoteReference w:id="8"/>
      </w:r>
      <w:r w:rsidRPr="005F5324">
        <w:rPr>
          <w:rFonts w:ascii="Calibri" w:eastAsia="Calibri" w:hAnsi="Calibri" w:cs="Times New Roman"/>
        </w:rPr>
        <w:t xml:space="preserve"> (środków własnych lub środków pozyskanych z zewnętrznych źródeł finansowania), w postaci wolnej od wszelkiego publicznego wsparcia finansowego, w wysokości określonej zgodnie z Rozporządzeniem Ministra Infrastruktury i Rozwoju z dnia 28 sierpnia 2015 r. </w:t>
      </w:r>
      <w:r w:rsidRPr="005F5324">
        <w:rPr>
          <w:rFonts w:ascii="Calibri" w:eastAsia="Calibri" w:hAnsi="Calibri" w:cs="Times New Roman"/>
          <w:i/>
        </w:rPr>
        <w:t xml:space="preserve">w sprawie pomocy inwestycyjnej na projekty wspierające efektywność energetyczną w ramach Regionalnych Programów Operacyjnych na lata 2014–2020 </w:t>
      </w:r>
      <w:r w:rsidRPr="005F5324">
        <w:rPr>
          <w:rFonts w:ascii="Calibri" w:eastAsia="Calibri" w:hAnsi="Calibri" w:cs="Times New Roman"/>
        </w:rPr>
        <w:t>(Dz.U 2015, poz. 1363)</w:t>
      </w:r>
      <w:r w:rsidRPr="005F5324">
        <w:rPr>
          <w:rFonts w:ascii="Calibri" w:eastAsia="Calibri" w:hAnsi="Calibri" w:cs="Times New Roman"/>
          <w:i/>
        </w:rPr>
        <w:t>.</w:t>
      </w:r>
      <w:r w:rsidRPr="005F5324">
        <w:rPr>
          <w:rFonts w:ascii="Calibri" w:eastAsia="Calibri" w:hAnsi="Calibri" w:cs="Times New Roman"/>
        </w:rPr>
        <w:t xml:space="preserve"> </w:t>
      </w:r>
    </w:p>
    <w:p w14:paraId="4C3DACA3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Jednostkowe Pożyczki, niezależenie od tego czy są udzielane z pomocą publiczną czy bez pomocy publicznej, oprocentowane będą nie wyżej niż:</w:t>
      </w:r>
    </w:p>
    <w:p w14:paraId="7514C992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0,5% w skali roku, o ile wyniki pozytywnie zweryfikowanego audytu energetycznego potwierdzają możliwość osiągnięcia oszczędności w zużyciu energii końcowej od 25% do 40% włącznie;</w:t>
      </w:r>
    </w:p>
    <w:p w14:paraId="3985D682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0,25% w skali roku, o ile wyniki pozytywnie zweryfikowanego audytu energetycznego potwierdzają możliwość osiągnięcia oszczędności w zużyciu energii końcowej powyżej 40% do 60% włącznie;</w:t>
      </w:r>
    </w:p>
    <w:p w14:paraId="5E83056D" w14:textId="77777777" w:rsidR="005F5324" w:rsidRPr="005F5324" w:rsidRDefault="005F5324" w:rsidP="005F5324">
      <w:pPr>
        <w:numPr>
          <w:ilvl w:val="0"/>
          <w:numId w:val="44"/>
        </w:numPr>
        <w:spacing w:before="120" w:after="120" w:line="240" w:lineRule="auto"/>
        <w:ind w:left="1418" w:hanging="284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0,15% w skali roku, jeśli wyniki pozytywnie zweryfikowanego audytu energetycznego potwierdzają możliwość osiągnięcia oszczędności w zużyciu energii końcowej powyżej 60% .</w:t>
      </w:r>
    </w:p>
    <w:p w14:paraId="63741C62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Tryb i warunki wypłaty Jednostkowej Pożyczki uzgadniane są pomiędzy Pośrednikiem Finansowym, a Ostatecznym Odbiorcą, z zastrzeżeniem pkt III.6.</w:t>
      </w:r>
    </w:p>
    <w:p w14:paraId="7871CA1E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 przypadku udzielania pomocy publicznej/ de minimis zgłaszanie faktu udzielenia takiej pomocy, wydania stosownego zaświadczenia oraz składania sprawozdań z udzielonej pomocy publicznej do właściwej instytucji spoczywa na Pośredniku Finansowym, zgodnie z Rozporządzeniem Rady Ministrów z dnia 23 grudnia 2009 r.</w:t>
      </w:r>
      <w:r w:rsidRPr="005F5324">
        <w:rPr>
          <w:rFonts w:ascii="Calibri" w:eastAsia="Calibri" w:hAnsi="Calibri" w:cs="Times New Roman"/>
          <w:i/>
        </w:rPr>
        <w:t xml:space="preserve"> w sprawie przekazywania sprawozdań o udzielonej pomocy publicznej i informacji o nieudzieleniu takiej pomocy z wykorzystaniem aplikacji SHRIMP</w:t>
      </w:r>
      <w:r w:rsidRPr="005F5324">
        <w:rPr>
          <w:rFonts w:ascii="Calibri" w:eastAsia="Calibri" w:hAnsi="Calibri" w:cs="Times New Roman"/>
        </w:rPr>
        <w:t xml:space="preserve"> (Dz.U. 2014 poz. 59 z późn. zm.).</w:t>
      </w:r>
    </w:p>
    <w:p w14:paraId="4063DE07" w14:textId="77777777" w:rsidR="005F5324" w:rsidRPr="005F5324" w:rsidRDefault="005F5324" w:rsidP="005F532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5F5324">
        <w:rPr>
          <w:rFonts w:ascii="Calibri" w:eastAsia="Calibri" w:hAnsi="Calibri" w:cs="Times New Roman"/>
        </w:rPr>
        <w:t>Wszelkie czynności dokonywane przez Pośrednika Finansowego na etapie rozpatrywania wniosku o udzielenie Pożyczki, udzielenia i obsługi Jednostkowej Pożyczki, w tym monitorowania, rozliczenia i spłaty, nie generują dodatkowych kosztów po stronie Ostatecznego Odbiorcy. Powyższe nie dotyczy odrębnie uregulowanych czynności windykacyjnych.</w:t>
      </w:r>
    </w:p>
    <w:p w14:paraId="52499992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Calibri" w:eastAsia="Times New Roman" w:hAnsi="Calibri" w:cs="Calibri"/>
          <w:lang w:eastAsia="pl-PL"/>
        </w:rPr>
        <w:t xml:space="preserve">W przypadku niespełnienia przez Ostatecznego Odbiorcę jakiegokolwiek z warunków umożliwiających udzielenie pomocy publicznej/ de minimis, Pożyczka na efektywność </w:t>
      </w:r>
      <w:r w:rsidRPr="005F5324">
        <w:rPr>
          <w:rFonts w:ascii="Calibri" w:eastAsia="Times New Roman" w:hAnsi="Calibri" w:cs="Calibri"/>
          <w:lang w:eastAsia="pl-PL"/>
        </w:rPr>
        <w:lastRenderedPageBreak/>
        <w:t>energetyczną może zostać udzielona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6C954682" w14:textId="77777777" w:rsidR="005F5324" w:rsidRPr="005F5324" w:rsidRDefault="005F5324" w:rsidP="005F5324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5F5324">
        <w:rPr>
          <w:rFonts w:ascii="Arial" w:eastAsia="Times New Roman" w:hAnsi="Arial" w:cs="Arial"/>
          <w:lang w:eastAsia="pl-PL"/>
        </w:rPr>
        <w:t xml:space="preserve"> </w:t>
      </w:r>
      <w:r w:rsidRPr="005F5324">
        <w:rPr>
          <w:rFonts w:ascii="Calibri" w:eastAsia="Times New Roman" w:hAnsi="Calibri" w:cs="Calibri"/>
          <w:lang w:eastAsia="pl-PL"/>
        </w:rPr>
        <w:t>Od środków Jednostkowej Pożyczki nie pobiera się żadnych opłat i prowizji związanych z ich udostępnieniem i obsługą. Powyższe nie dotyczy odrębnie uregulowanych czynności windykacyjnych.</w:t>
      </w:r>
    </w:p>
    <w:p w14:paraId="35BEEC94" w14:textId="77777777" w:rsidR="005F5324" w:rsidRPr="005F5324" w:rsidRDefault="005F5324" w:rsidP="005F5324">
      <w:pPr>
        <w:spacing w:before="120" w:after="120" w:line="240" w:lineRule="auto"/>
        <w:ind w:left="360"/>
        <w:jc w:val="both"/>
        <w:rPr>
          <w:rFonts w:ascii="Calibri" w:eastAsia="Calibri" w:hAnsi="Calibri" w:cs="Times New Roman"/>
        </w:rPr>
      </w:pPr>
    </w:p>
    <w:p w14:paraId="03FBD6B1" w14:textId="3DC4B5B8" w:rsidR="004E6364" w:rsidRDefault="004E6364" w:rsidP="004E6364">
      <w:pPr>
        <w:tabs>
          <w:tab w:val="num" w:pos="426"/>
        </w:tabs>
        <w:spacing w:after="120"/>
        <w:jc w:val="both"/>
      </w:pPr>
      <w:r>
        <w:t>Oświadczam, iż zapoznałem się z treścią niniejszego dokumentu:</w:t>
      </w:r>
    </w:p>
    <w:p w14:paraId="0D02CB34" w14:textId="3E7C2DE8" w:rsidR="004E6364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14:paraId="0E586003" w14:textId="5E72DBF2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7FE6C" w14:textId="3CFA03DC" w:rsidR="004E6364" w:rsidRDefault="004E6364" w:rsidP="003A035B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14:paraId="03E504F5" w14:textId="4C3AEECC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4E6364" w:rsidRDefault="004E6364" w:rsidP="003E578E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4E6364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3E578E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pożyczkobiorcy</w:t>
            </w:r>
          </w:p>
        </w:tc>
      </w:tr>
    </w:tbl>
    <w:p w14:paraId="42D78444" w14:textId="77777777" w:rsidR="004E6364" w:rsidRPr="00F854F4" w:rsidRDefault="004E6364" w:rsidP="004E6364">
      <w:pPr>
        <w:tabs>
          <w:tab w:val="num" w:pos="426"/>
        </w:tabs>
        <w:spacing w:after="120"/>
        <w:jc w:val="both"/>
      </w:pPr>
    </w:p>
    <w:sectPr w:rsidR="004E6364" w:rsidRPr="00F854F4" w:rsidSect="006B26B1">
      <w:headerReference w:type="default" r:id="rId8"/>
      <w:footerReference w:type="default" r:id="rId9"/>
      <w:pgSz w:w="11906" w:h="16838"/>
      <w:pgMar w:top="1417" w:right="1133" w:bottom="1135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24B2" w14:textId="77777777" w:rsidR="000C7E83" w:rsidRDefault="000C7E83" w:rsidP="00BA3860">
      <w:pPr>
        <w:spacing w:after="0" w:line="240" w:lineRule="auto"/>
      </w:pPr>
      <w:r>
        <w:separator/>
      </w:r>
    </w:p>
  </w:endnote>
  <w:endnote w:type="continuationSeparator" w:id="0">
    <w:p w14:paraId="463EC8B3" w14:textId="77777777" w:rsidR="000C7E83" w:rsidRDefault="000C7E83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BACBC1" w14:textId="274F5343" w:rsidR="00F57684" w:rsidRDefault="00057FDB">
            <w:pPr>
              <w:pStyle w:val="Stopka"/>
              <w:jc w:val="center"/>
            </w:pPr>
            <w:r w:rsidRPr="00BB0D15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BF2C21" wp14:editId="000CCDFA">
                  <wp:extent cx="5760720" cy="28765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lka_PR_RP_WM_BGK_EFR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7684">
              <w:t xml:space="preserve">Strona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PAGE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870720">
              <w:rPr>
                <w:b/>
                <w:bCs/>
                <w:noProof/>
              </w:rPr>
              <w:t>7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  <w:r w:rsidR="00F57684">
              <w:t xml:space="preserve"> z </w:t>
            </w:r>
            <w:r w:rsidR="00F57684">
              <w:rPr>
                <w:b/>
                <w:bCs/>
                <w:sz w:val="24"/>
                <w:szCs w:val="24"/>
              </w:rPr>
              <w:fldChar w:fldCharType="begin"/>
            </w:r>
            <w:r w:rsidR="00F57684">
              <w:rPr>
                <w:b/>
                <w:bCs/>
              </w:rPr>
              <w:instrText>NUMPAGES</w:instrText>
            </w:r>
            <w:r w:rsidR="00F57684">
              <w:rPr>
                <w:b/>
                <w:bCs/>
                <w:sz w:val="24"/>
                <w:szCs w:val="24"/>
              </w:rPr>
              <w:fldChar w:fldCharType="separate"/>
            </w:r>
            <w:r w:rsidR="00870720">
              <w:rPr>
                <w:b/>
                <w:bCs/>
                <w:noProof/>
              </w:rPr>
              <w:t>8</w:t>
            </w:r>
            <w:r w:rsidR="00F576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74086" w14:textId="77777777" w:rsidR="003E4B31" w:rsidRDefault="003E4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770" w14:textId="77777777" w:rsidR="000C7E83" w:rsidRDefault="000C7E83" w:rsidP="00BA3860">
      <w:pPr>
        <w:spacing w:after="0" w:line="240" w:lineRule="auto"/>
      </w:pPr>
      <w:bookmarkStart w:id="0" w:name="_Hlk72749714"/>
      <w:bookmarkEnd w:id="0"/>
      <w:r>
        <w:separator/>
      </w:r>
    </w:p>
  </w:footnote>
  <w:footnote w:type="continuationSeparator" w:id="0">
    <w:p w14:paraId="6D1AFD2D" w14:textId="77777777" w:rsidR="000C7E83" w:rsidRDefault="000C7E83" w:rsidP="00BA3860">
      <w:pPr>
        <w:spacing w:after="0" w:line="240" w:lineRule="auto"/>
      </w:pPr>
      <w:r>
        <w:continuationSeparator/>
      </w:r>
    </w:p>
  </w:footnote>
  <w:footnote w:id="1">
    <w:p w14:paraId="27E60E23" w14:textId="58AD480D" w:rsidR="003D2669" w:rsidRPr="002D590F" w:rsidRDefault="003D2669" w:rsidP="002D590F">
      <w:pPr>
        <w:pStyle w:val="Default"/>
        <w:rPr>
          <w:rFonts w:ascii="Calibri" w:hAnsi="Calibri" w:cs="Calibri"/>
        </w:rPr>
      </w:pPr>
      <w:r w:rsidRPr="002D590F">
        <w:rPr>
          <w:rStyle w:val="Odwoanieprzypisudolnego"/>
          <w:sz w:val="22"/>
        </w:rPr>
        <w:footnoteRef/>
      </w:r>
      <w:r w:rsidRPr="002D590F">
        <w:rPr>
          <w:sz w:val="22"/>
        </w:rPr>
        <w:t xml:space="preserve"> </w:t>
      </w:r>
      <w:r w:rsidRPr="002D590F">
        <w:rPr>
          <w:rFonts w:ascii="Calibri" w:hAnsi="Calibri" w:cs="Calibri"/>
          <w:sz w:val="16"/>
          <w:szCs w:val="18"/>
        </w:rPr>
        <w:t xml:space="preserve">Wysokość maksymalnej kwoty Jednostkowej Pożyczki zależy od alokacji. Dla cz. I będzie to kwota 1 000 000,00 PLN; cz. II – </w:t>
      </w:r>
      <w:r w:rsidRPr="002D590F">
        <w:rPr>
          <w:rFonts w:ascii="Calibri" w:hAnsi="Calibri" w:cs="Calibri"/>
          <w:sz w:val="16"/>
          <w:szCs w:val="18"/>
        </w:rPr>
        <w:br/>
        <w:t xml:space="preserve">    800 000,00 PLN. </w:t>
      </w:r>
      <w:r w:rsidRPr="002D590F">
        <w:rPr>
          <w:rFonts w:ascii="Calibri" w:hAnsi="Calibri" w:cs="Calibri"/>
          <w:sz w:val="22"/>
        </w:rPr>
        <w:t xml:space="preserve"> </w:t>
      </w:r>
    </w:p>
  </w:footnote>
  <w:footnote w:id="2">
    <w:p w14:paraId="09AE2FB7" w14:textId="77777777" w:rsidR="005F5324" w:rsidRPr="00C01206" w:rsidRDefault="005F5324" w:rsidP="005F5324">
      <w:pPr>
        <w:pStyle w:val="Tekstprzypisudolnego"/>
        <w:ind w:hanging="142"/>
        <w:rPr>
          <w:rFonts w:cstheme="minorHAnsi"/>
          <w:sz w:val="18"/>
          <w:szCs w:val="18"/>
        </w:rPr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Style w:val="Odwoanieprzypisudolnego"/>
          <w:rFonts w:cstheme="minorHAnsi"/>
          <w:sz w:val="18"/>
          <w:szCs w:val="18"/>
        </w:rPr>
        <w:t xml:space="preserve"> </w:t>
      </w:r>
      <w:r w:rsidRPr="00CE1790">
        <w:rPr>
          <w:rFonts w:cstheme="minorHAnsi"/>
          <w:sz w:val="18"/>
          <w:szCs w:val="18"/>
        </w:rPr>
        <w:t>Wielorodzinny budynek mieszkalny – budynek mieszkalny zawierający 2 lub więcej mieszkań, przy czym budynki w zabudowie bliźniaczej, szeregowej lub grupowej są budynkami jednorodzinnymi (zgodnie z definicją ujętą w Rozporządzeniu Ministra Infrastruktury z dnia 12 kwietnia 2002 r. w sprawie warunków technicznych, jakim powinny odpowiadać budynki i ich usytuowanie – Dz. U. 2002 nr 75 poz.690</w:t>
      </w:r>
      <w:r>
        <w:rPr>
          <w:rFonts w:cstheme="minorHAnsi"/>
          <w:sz w:val="18"/>
          <w:szCs w:val="18"/>
        </w:rPr>
        <w:t xml:space="preserve"> z późn. zm.</w:t>
      </w:r>
      <w:r w:rsidRPr="00CE1790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. </w:t>
      </w:r>
    </w:p>
  </w:footnote>
  <w:footnote w:id="3">
    <w:p w14:paraId="7A692CE2" w14:textId="77777777" w:rsidR="005F5324" w:rsidRPr="00C01206" w:rsidRDefault="005F5324" w:rsidP="005F5324">
      <w:pPr>
        <w:pStyle w:val="Tekstprzypisudolnego"/>
        <w:ind w:hanging="142"/>
        <w:rPr>
          <w:rFonts w:cstheme="minorHAnsi"/>
          <w:sz w:val="18"/>
          <w:szCs w:val="18"/>
        </w:rPr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Fonts w:cstheme="minorHAnsi"/>
          <w:sz w:val="18"/>
          <w:szCs w:val="18"/>
        </w:rPr>
        <w:t xml:space="preserve"> Inwestycje w zakresie wymiany źródła ciepła noszą cechy inwestycji o  długotrwałym charakterze, stąd powinny być zgodne </w:t>
      </w:r>
      <w:r>
        <w:rPr>
          <w:rFonts w:cstheme="minorHAnsi"/>
          <w:sz w:val="18"/>
          <w:szCs w:val="18"/>
        </w:rPr>
        <w:br/>
      </w:r>
      <w:r w:rsidRPr="00C01206">
        <w:rPr>
          <w:rFonts w:cstheme="minorHAnsi"/>
          <w:sz w:val="18"/>
          <w:szCs w:val="18"/>
        </w:rPr>
        <w:t xml:space="preserve">z przepisami unijnymi. Wspierane urządzenia do ogrzewania powinny od początku okresu programowania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projektów związanych z energią  </w:t>
      </w:r>
    </w:p>
  </w:footnote>
  <w:footnote w:id="4">
    <w:p w14:paraId="2FEBDD27" w14:textId="77777777" w:rsidR="005F5324" w:rsidRPr="005C2423" w:rsidRDefault="005F5324" w:rsidP="005F5324">
      <w:pPr>
        <w:pStyle w:val="Tekstprzypisudolnego"/>
        <w:ind w:hanging="142"/>
      </w:pPr>
      <w:r w:rsidRPr="00C01206">
        <w:rPr>
          <w:rStyle w:val="Odwoanieprzypisudolnego"/>
          <w:rFonts w:cstheme="minorHAnsi"/>
          <w:sz w:val="18"/>
          <w:szCs w:val="18"/>
        </w:rPr>
        <w:footnoteRef/>
      </w:r>
      <w:r w:rsidRPr="00C01206">
        <w:rPr>
          <w:rFonts w:cstheme="minorHAnsi"/>
          <w:sz w:val="18"/>
          <w:szCs w:val="18"/>
        </w:rPr>
        <w:t xml:space="preserve"> Definicja „odnawialnego źródła energii” oraz rodzaje odnawialnych źródeł energii, o których mowa w niniejszym dokumencie, są zgodne z przepisami art. 2 ustawy o odnawialnych źródłach energii z dnia 20 lutego 2015 r.(Dz. U.2015 poz. 478).</w:t>
      </w:r>
    </w:p>
  </w:footnote>
  <w:footnote w:id="5">
    <w:p w14:paraId="068FEF2C" w14:textId="77777777" w:rsidR="005F5324" w:rsidRPr="00F2670D" w:rsidRDefault="005F5324" w:rsidP="005F5324">
      <w:pPr>
        <w:pStyle w:val="Tekstprzypisudolnego"/>
        <w:ind w:hanging="142"/>
      </w:pPr>
      <w:r w:rsidRPr="00AC7B6E">
        <w:rPr>
          <w:rStyle w:val="Odwoanieprzypisudolnego"/>
        </w:rPr>
        <w:footnoteRef/>
      </w:r>
      <w:r w:rsidRPr="00AC7B6E">
        <w:t xml:space="preserve"> </w:t>
      </w:r>
      <w:r w:rsidRPr="00C01206">
        <w:rPr>
          <w:sz w:val="18"/>
          <w:szCs w:val="18"/>
        </w:rPr>
        <w:t>W zakresie wymiany indywidualnych źródeł ciepła projekty muszą skutkować redukcją CO</w:t>
      </w:r>
      <w:r w:rsidRPr="00C01206">
        <w:rPr>
          <w:sz w:val="18"/>
          <w:szCs w:val="18"/>
          <w:vertAlign w:val="subscript"/>
        </w:rPr>
        <w:t xml:space="preserve">2 </w:t>
      </w:r>
      <w:r w:rsidRPr="00C01206">
        <w:rPr>
          <w:sz w:val="18"/>
          <w:szCs w:val="18"/>
        </w:rPr>
        <w:t>o co najmniej 30% w odniesieniu do istniejącej instalacji. Inwestycje powinny być zgodne z właściwymi standardami unijnymi i przepisami w zakresie ochrony środowiska. Wspierane urządzenia do ogrzewania powinny od początku okresu programowania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</w:t>
      </w:r>
    </w:p>
  </w:footnote>
  <w:footnote w:id="6">
    <w:p w14:paraId="5AD721D5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60B49">
        <w:rPr>
          <w:rFonts w:cstheme="minorHAnsi"/>
          <w:sz w:val="18"/>
          <w:szCs w:val="18"/>
        </w:rPr>
        <w:t>Ubóstwo energetyczne</w:t>
      </w:r>
      <w:r w:rsidRPr="00183E2E">
        <w:rPr>
          <w:rFonts w:cstheme="minorHAnsi"/>
          <w:sz w:val="18"/>
          <w:szCs w:val="18"/>
        </w:rPr>
        <w:t xml:space="preserve"> – brak możliwości utrzymania ogrzewania na odpowiednim poziomie po przystępnej cenie. Trzy główne czynniki wpływające na ubóstwo energetyczne, to: </w:t>
      </w:r>
    </w:p>
    <w:p w14:paraId="0A39C0B9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 w:rsidRPr="00183E2E">
        <w:rPr>
          <w:rFonts w:cstheme="minorHAnsi"/>
          <w:sz w:val="18"/>
          <w:szCs w:val="18"/>
        </w:rPr>
        <w:t>– efektywność energetyczna domu/ mieszkania – poprzez lepszą izolację oraz sprawniejszy system grzewczy wpływamy na obniżenie rachunków za energię, a tym samym na kondycję finansową gospodarstw domowych,</w:t>
      </w:r>
    </w:p>
    <w:p w14:paraId="64A3329A" w14:textId="77777777" w:rsidR="005F5324" w:rsidRDefault="005F5324" w:rsidP="005F5324">
      <w:pPr>
        <w:pStyle w:val="Tekstprzypisudolnego"/>
        <w:rPr>
          <w:rFonts w:cstheme="minorHAnsi"/>
          <w:sz w:val="18"/>
          <w:szCs w:val="18"/>
        </w:rPr>
      </w:pPr>
      <w:r w:rsidRPr="00183E2E">
        <w:rPr>
          <w:rFonts w:cstheme="minorHAnsi"/>
          <w:sz w:val="18"/>
          <w:szCs w:val="18"/>
        </w:rPr>
        <w:t xml:space="preserve"> – cena energii i gazu, </w:t>
      </w:r>
    </w:p>
    <w:p w14:paraId="63D91D07" w14:textId="77777777" w:rsidR="005F5324" w:rsidRDefault="005F5324" w:rsidP="005F5324">
      <w:pPr>
        <w:pStyle w:val="Tekstprzypisudolnego"/>
      </w:pPr>
      <w:r w:rsidRPr="00183E2E">
        <w:rPr>
          <w:rFonts w:cstheme="minorHAnsi"/>
          <w:sz w:val="18"/>
          <w:szCs w:val="18"/>
        </w:rPr>
        <w:t>– poziom dochodu gospodarstwa domowego – jeśli dochody gospodarstw domowych rosną szybciej niż ceny energii, wówczas przyczynia się to do ograniczenia wzrostu liczby gospodarstw domowych w sytuacji ubóstwa energetycznego, i odwrotnie</w:t>
      </w:r>
      <w:r>
        <w:rPr>
          <w:rFonts w:cstheme="minorHAnsi"/>
          <w:sz w:val="18"/>
          <w:szCs w:val="18"/>
        </w:rPr>
        <w:t xml:space="preserve"> </w:t>
      </w:r>
      <w:r w:rsidRPr="00183E2E">
        <w:rPr>
          <w:rFonts w:cstheme="minorHAnsi"/>
          <w:sz w:val="18"/>
          <w:szCs w:val="18"/>
        </w:rPr>
        <w:t>(URE).</w:t>
      </w:r>
    </w:p>
  </w:footnote>
  <w:footnote w:id="7">
    <w:p w14:paraId="2FBB9894" w14:textId="77777777" w:rsidR="005F5324" w:rsidRPr="00C01206" w:rsidRDefault="005F5324" w:rsidP="005F5324">
      <w:pPr>
        <w:pStyle w:val="Tekstprzypisudolnego"/>
        <w:ind w:hanging="142"/>
        <w:rPr>
          <w:sz w:val="18"/>
          <w:szCs w:val="18"/>
        </w:rPr>
      </w:pPr>
      <w:r w:rsidRPr="00BF7908">
        <w:rPr>
          <w:rStyle w:val="Odwoanieprzypisudolnego"/>
        </w:rPr>
        <w:footnoteRef/>
      </w:r>
      <w:r w:rsidRPr="00BF7908">
        <w:t xml:space="preserve"> </w:t>
      </w:r>
      <w:r w:rsidRPr="00C01206">
        <w:rPr>
          <w:sz w:val="18"/>
          <w:szCs w:val="18"/>
        </w:rPr>
        <w:t>W kontekście objęcia projektu pomocą publiczną należy rozpatrywać fakt czy Ostateczny Odbiorca spełnia definicję „przedsiębiorstwa” określoną w załączniku I do Rozporządzenia Komisji (UE) nr 651/2014. Przepisy o pomocy publicznej mają zastosowanie do przedsiębiorstw w rozumieniu unijnego prawa konkurencji tj. podmiotów prowadzących działalność gospodarczą, bez względu na status prawny i sposób finansowania. W każdym przypadku badanie statusu przedsiębiorstwa trzeba odnosić do konkretnej działalności danego podmiotu, który w pewnych sferach działalności może być uznawany za przedsiębiorstwo, natomiast w innych za podmiot nieprowadzący działalności gospodarczej, m.in.:</w:t>
      </w:r>
    </w:p>
    <w:p w14:paraId="4AD92B26" w14:textId="77777777" w:rsidR="005F5324" w:rsidRPr="00C01206" w:rsidRDefault="005F5324" w:rsidP="005F5324">
      <w:pPr>
        <w:pStyle w:val="Tekstprzypisudolnego"/>
        <w:numPr>
          <w:ilvl w:val="0"/>
          <w:numId w:val="41"/>
        </w:numPr>
        <w:tabs>
          <w:tab w:val="clear" w:pos="720"/>
        </w:tabs>
        <w:ind w:left="709" w:hanging="284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 przypadku realizacji inwestycji przez podmioty mające status przedsiębiorcy, w tym: spółdzielnie mieszkaniowe, TBS i inne wsparcie w zakresie efektywności energetycznej, jak i w zakresie OZE, stanowi pomoc publiczną.</w:t>
      </w:r>
    </w:p>
    <w:p w14:paraId="0859324A" w14:textId="77777777" w:rsidR="005F5324" w:rsidRPr="00C01206" w:rsidRDefault="005F5324" w:rsidP="005F5324">
      <w:pPr>
        <w:pStyle w:val="Tekstprzypisudolnego"/>
        <w:numPr>
          <w:ilvl w:val="0"/>
          <w:numId w:val="41"/>
        </w:numPr>
        <w:tabs>
          <w:tab w:val="clear" w:pos="720"/>
        </w:tabs>
        <w:ind w:left="709" w:hanging="284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 przypadku realizacji inwestycji przez wspólnoty mieszkaniowe pożyczka w zakresie efektywności energetycznej budynku może stanowić pomoc publiczną w przypadku jeżeli:</w:t>
      </w:r>
    </w:p>
    <w:p w14:paraId="60EB006C" w14:textId="77777777" w:rsidR="005F5324" w:rsidRPr="00C01206" w:rsidRDefault="005F5324" w:rsidP="005F5324">
      <w:pPr>
        <w:pStyle w:val="Tekstprzypisudolnego"/>
        <w:numPr>
          <w:ilvl w:val="0"/>
          <w:numId w:val="43"/>
        </w:numPr>
        <w:tabs>
          <w:tab w:val="num" w:pos="1276"/>
        </w:tabs>
        <w:ind w:left="1276" w:hanging="567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wspólnota mieszkaniowa w swych zasobach posiada lokale wykorzystywane przez nią komercyjnie;</w:t>
      </w:r>
    </w:p>
    <w:p w14:paraId="327C0A46" w14:textId="77777777" w:rsidR="005F5324" w:rsidRPr="00C01206" w:rsidRDefault="005F5324" w:rsidP="005F5324">
      <w:pPr>
        <w:pStyle w:val="Tekstprzypisudolnego"/>
        <w:numPr>
          <w:ilvl w:val="0"/>
          <w:numId w:val="43"/>
        </w:numPr>
        <w:tabs>
          <w:tab w:val="num" w:pos="1276"/>
        </w:tabs>
        <w:ind w:left="1276" w:hanging="567"/>
        <w:jc w:val="both"/>
        <w:rPr>
          <w:sz w:val="18"/>
          <w:szCs w:val="18"/>
        </w:rPr>
      </w:pPr>
      <w:r w:rsidRPr="00C01206">
        <w:rPr>
          <w:sz w:val="18"/>
          <w:szCs w:val="18"/>
        </w:rPr>
        <w:t>jeden z właścicieli wyodrębnionego lokalu mieszkalnego prowadzi w nim działalność gospodarczą.</w:t>
      </w:r>
    </w:p>
  </w:footnote>
  <w:footnote w:id="8">
    <w:p w14:paraId="5BA2ED81" w14:textId="77777777" w:rsidR="005F5324" w:rsidRPr="000A4BB6" w:rsidRDefault="005F5324" w:rsidP="005F5324">
      <w:pPr>
        <w:pStyle w:val="Tekstprzypisudolnego"/>
      </w:pPr>
      <w:r w:rsidRPr="00C01206">
        <w:rPr>
          <w:rStyle w:val="Odwoanieprzypisudolnego"/>
          <w:sz w:val="18"/>
          <w:szCs w:val="18"/>
        </w:rPr>
        <w:footnoteRef/>
      </w:r>
      <w:r w:rsidRPr="00C01206">
        <w:rPr>
          <w:sz w:val="18"/>
          <w:szCs w:val="18"/>
        </w:rPr>
        <w:t xml:space="preserve"> Wkład własny Ostatecznego Odbiorcy – środki finansowe zabezpieczone przez Pożyczkobiorcę, które zostaną przeznaczone na pokrycie części kosztów kwalifikowalnych oraz kosztów niekwalifikowalnych (jeżeli takie wystąpią). Środki te muszą być wolne</w:t>
      </w:r>
      <w:r w:rsidRPr="00C01206">
        <w:rPr>
          <w:rFonts w:ascii="Calibri" w:hAnsi="Calibri" w:cs="Calibri"/>
          <w:sz w:val="18"/>
          <w:szCs w:val="18"/>
        </w:rPr>
        <w:t xml:space="preserve"> od wszelkiego publicznego wsparcia finansowego.</w:t>
      </w:r>
      <w:r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461E" w14:textId="2BE37E9F" w:rsidR="00F57684" w:rsidRDefault="0005132B" w:rsidP="0005132B">
    <w:pPr>
      <w:pStyle w:val="Nagwek"/>
    </w:pPr>
    <w:r w:rsidRPr="00BB0D15">
      <w:rPr>
        <w:rFonts w:ascii="Cambria" w:eastAsia="MS Mincho" w:hAnsi="Cambria"/>
        <w:noProof/>
        <w:lang w:eastAsia="pl-PL"/>
      </w:rPr>
      <w:drawing>
        <wp:inline distT="0" distB="0" distL="0" distR="0" wp14:anchorId="5C107390" wp14:editId="2C22E894">
          <wp:extent cx="847725" cy="611151"/>
          <wp:effectExtent l="0" t="0" r="0" b="0"/>
          <wp:docPr id="15" name="Obraz 15" descr="P:\2014_2020\Promo_Info\0_Wlasne\Logotypy i szablony pism_prezentacje\małopolskie\logo Malopolska\dymek zół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:\2014_2020\Promo_Info\0_Wlasne\Logotypy i szablony pism_prezentacje\małopolskie\logo Malopolska\dymek zół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75" cy="62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EE3">
      <w:rPr>
        <w:rFonts w:ascii="Times New Roman" w:eastAsia="Times New Roman" w:hAnsi="Times New Roman"/>
        <w:b/>
        <w:noProof/>
        <w:sz w:val="24"/>
        <w:szCs w:val="24"/>
        <w:lang w:eastAsia="pl-PL"/>
      </w:rPr>
      <w:t xml:space="preserve">              </w:t>
    </w:r>
    <w:r w:rsidRPr="00B92EE3">
      <w:rPr>
        <w:rFonts w:ascii="Times New Roman" w:hAnsi="Times New Roman"/>
        <w:noProof/>
        <w:sz w:val="24"/>
        <w:lang w:eastAsia="pl-PL"/>
      </w:rPr>
      <w:t xml:space="preserve">          </w:t>
    </w:r>
    <w:r>
      <w:rPr>
        <w:rFonts w:ascii="Times New Roman" w:hAnsi="Times New Roman"/>
        <w:noProof/>
        <w:sz w:val="24"/>
        <w:lang w:eastAsia="pl-PL"/>
      </w:rPr>
      <w:tab/>
    </w:r>
    <w:r>
      <w:rPr>
        <w:rFonts w:ascii="Times New Roman" w:hAnsi="Times New Roman"/>
        <w:noProof/>
        <w:sz w:val="24"/>
        <w:lang w:eastAsia="pl-PL"/>
      </w:rPr>
      <w:tab/>
    </w:r>
    <w:r w:rsidRPr="00B92EE3">
      <w:rPr>
        <w:rFonts w:ascii="Times New Roman" w:hAnsi="Times New Roman"/>
        <w:b/>
        <w:noProof/>
        <w:sz w:val="24"/>
        <w:lang w:eastAsia="pl-PL"/>
      </w:rPr>
      <w:drawing>
        <wp:inline distT="0" distB="0" distL="0" distR="0" wp14:anchorId="397C3B9A" wp14:editId="6E0750CB">
          <wp:extent cx="971550" cy="504825"/>
          <wp:effectExtent l="0" t="0" r="0" b="9525"/>
          <wp:docPr id="2" name="Obraz 2" descr="marr-papi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rr-papier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lang w:eastAsia="pl-PL"/>
      </w:rPr>
      <w:tab/>
    </w:r>
    <w:r>
      <w:rPr>
        <w:rFonts w:ascii="Times New Roman" w:hAnsi="Times New Roman"/>
        <w:noProof/>
        <w:sz w:val="24"/>
        <w:lang w:eastAsia="pl-PL"/>
      </w:rPr>
      <w:tab/>
    </w:r>
    <w:r>
      <w:rPr>
        <w:rFonts w:ascii="Times New Roman" w:hAnsi="Times New Roman"/>
        <w:noProof/>
        <w:sz w:val="24"/>
        <w:lang w:eastAsia="pl-PL"/>
      </w:rPr>
      <w:tab/>
    </w:r>
    <w:r w:rsidR="00057FDB">
      <w:rPr>
        <w:rFonts w:cs="Arial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0D9E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D45B1"/>
    <w:multiLevelType w:val="hybridMultilevel"/>
    <w:tmpl w:val="CFB86736"/>
    <w:lvl w:ilvl="0" w:tplc="2214CE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901"/>
    <w:multiLevelType w:val="multilevel"/>
    <w:tmpl w:val="22EAC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E6FC1"/>
    <w:multiLevelType w:val="hybridMultilevel"/>
    <w:tmpl w:val="0F9A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2DEA"/>
    <w:multiLevelType w:val="hybridMultilevel"/>
    <w:tmpl w:val="3C3E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FA664D"/>
    <w:multiLevelType w:val="hybridMultilevel"/>
    <w:tmpl w:val="E8280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17E8"/>
    <w:multiLevelType w:val="hybridMultilevel"/>
    <w:tmpl w:val="FCD2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2B6B"/>
    <w:multiLevelType w:val="hybridMultilevel"/>
    <w:tmpl w:val="B3264BDC"/>
    <w:lvl w:ilvl="0" w:tplc="69E61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4171"/>
    <w:multiLevelType w:val="hybridMultilevel"/>
    <w:tmpl w:val="A04A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B6601"/>
    <w:multiLevelType w:val="hybridMultilevel"/>
    <w:tmpl w:val="0EF4F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4C109C"/>
    <w:multiLevelType w:val="hybridMultilevel"/>
    <w:tmpl w:val="D9B47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36E59"/>
    <w:multiLevelType w:val="hybridMultilevel"/>
    <w:tmpl w:val="239464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614B6"/>
    <w:multiLevelType w:val="hybridMultilevel"/>
    <w:tmpl w:val="75F80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B344CB"/>
    <w:multiLevelType w:val="hybridMultilevel"/>
    <w:tmpl w:val="5902297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15"/>
  </w:num>
  <w:num w:numId="5">
    <w:abstractNumId w:val="29"/>
  </w:num>
  <w:num w:numId="6">
    <w:abstractNumId w:val="34"/>
  </w:num>
  <w:num w:numId="7">
    <w:abstractNumId w:val="28"/>
  </w:num>
  <w:num w:numId="8">
    <w:abstractNumId w:val="22"/>
  </w:num>
  <w:num w:numId="9">
    <w:abstractNumId w:val="35"/>
  </w:num>
  <w:num w:numId="10">
    <w:abstractNumId w:val="43"/>
  </w:num>
  <w:num w:numId="11">
    <w:abstractNumId w:val="4"/>
  </w:num>
  <w:num w:numId="12">
    <w:abstractNumId w:val="42"/>
  </w:num>
  <w:num w:numId="13">
    <w:abstractNumId w:val="30"/>
  </w:num>
  <w:num w:numId="14">
    <w:abstractNumId w:val="13"/>
  </w:num>
  <w:num w:numId="15">
    <w:abstractNumId w:val="10"/>
  </w:num>
  <w:num w:numId="16">
    <w:abstractNumId w:val="31"/>
  </w:num>
  <w:num w:numId="17">
    <w:abstractNumId w:val="40"/>
  </w:num>
  <w:num w:numId="18">
    <w:abstractNumId w:val="39"/>
  </w:num>
  <w:num w:numId="19">
    <w:abstractNumId w:val="17"/>
  </w:num>
  <w:num w:numId="20">
    <w:abstractNumId w:val="23"/>
  </w:num>
  <w:num w:numId="21">
    <w:abstractNumId w:val="18"/>
  </w:num>
  <w:num w:numId="22">
    <w:abstractNumId w:val="14"/>
  </w:num>
  <w:num w:numId="23">
    <w:abstractNumId w:val="3"/>
  </w:num>
  <w:num w:numId="24">
    <w:abstractNumId w:val="19"/>
  </w:num>
  <w:num w:numId="25">
    <w:abstractNumId w:val="2"/>
  </w:num>
  <w:num w:numId="26">
    <w:abstractNumId w:val="33"/>
  </w:num>
  <w:num w:numId="27">
    <w:abstractNumId w:val="11"/>
  </w:num>
  <w:num w:numId="28">
    <w:abstractNumId w:val="21"/>
  </w:num>
  <w:num w:numId="29">
    <w:abstractNumId w:val="36"/>
  </w:num>
  <w:num w:numId="30">
    <w:abstractNumId w:val="32"/>
  </w:num>
  <w:num w:numId="31">
    <w:abstractNumId w:val="16"/>
  </w:num>
  <w:num w:numId="32">
    <w:abstractNumId w:val="41"/>
  </w:num>
  <w:num w:numId="33">
    <w:abstractNumId w:val="8"/>
  </w:num>
  <w:num w:numId="34">
    <w:abstractNumId w:val="24"/>
  </w:num>
  <w:num w:numId="35">
    <w:abstractNumId w:val="27"/>
  </w:num>
  <w:num w:numId="36">
    <w:abstractNumId w:val="9"/>
  </w:num>
  <w:num w:numId="37">
    <w:abstractNumId w:val="12"/>
  </w:num>
  <w:num w:numId="38">
    <w:abstractNumId w:val="37"/>
  </w:num>
  <w:num w:numId="39">
    <w:abstractNumId w:val="20"/>
  </w:num>
  <w:num w:numId="40">
    <w:abstractNumId w:val="25"/>
  </w:num>
  <w:num w:numId="41">
    <w:abstractNumId w:val="5"/>
  </w:num>
  <w:num w:numId="42">
    <w:abstractNumId w:val="6"/>
  </w:num>
  <w:num w:numId="43">
    <w:abstractNumId w:val="26"/>
  </w:num>
  <w:num w:numId="44">
    <w:abstractNumId w:val="4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13256"/>
    <w:rsid w:val="00023B04"/>
    <w:rsid w:val="00024080"/>
    <w:rsid w:val="0005132B"/>
    <w:rsid w:val="00053FB3"/>
    <w:rsid w:val="00055219"/>
    <w:rsid w:val="00057FDB"/>
    <w:rsid w:val="000710BD"/>
    <w:rsid w:val="00097D21"/>
    <w:rsid w:val="000B2707"/>
    <w:rsid w:val="000B60CD"/>
    <w:rsid w:val="000C1D62"/>
    <w:rsid w:val="000C3F38"/>
    <w:rsid w:val="000C7E83"/>
    <w:rsid w:val="000E11F1"/>
    <w:rsid w:val="000F0392"/>
    <w:rsid w:val="00112915"/>
    <w:rsid w:val="0012340D"/>
    <w:rsid w:val="00130E21"/>
    <w:rsid w:val="00143B24"/>
    <w:rsid w:val="001458FD"/>
    <w:rsid w:val="001465A3"/>
    <w:rsid w:val="00177BFD"/>
    <w:rsid w:val="00192DD1"/>
    <w:rsid w:val="001B152A"/>
    <w:rsid w:val="001B440A"/>
    <w:rsid w:val="001D353E"/>
    <w:rsid w:val="001F0850"/>
    <w:rsid w:val="001F499D"/>
    <w:rsid w:val="002023F1"/>
    <w:rsid w:val="00216CDB"/>
    <w:rsid w:val="00220E6E"/>
    <w:rsid w:val="002341C7"/>
    <w:rsid w:val="00242BE0"/>
    <w:rsid w:val="00243BEF"/>
    <w:rsid w:val="00256671"/>
    <w:rsid w:val="00257186"/>
    <w:rsid w:val="002612FF"/>
    <w:rsid w:val="002725DE"/>
    <w:rsid w:val="002737AE"/>
    <w:rsid w:val="00281BE7"/>
    <w:rsid w:val="00286687"/>
    <w:rsid w:val="00286819"/>
    <w:rsid w:val="002B6A7C"/>
    <w:rsid w:val="002C097C"/>
    <w:rsid w:val="002C1D6A"/>
    <w:rsid w:val="002D1C48"/>
    <w:rsid w:val="002D590F"/>
    <w:rsid w:val="002E0530"/>
    <w:rsid w:val="00303756"/>
    <w:rsid w:val="003077F0"/>
    <w:rsid w:val="0031356C"/>
    <w:rsid w:val="003408A3"/>
    <w:rsid w:val="00346CB0"/>
    <w:rsid w:val="003562D8"/>
    <w:rsid w:val="00357EB2"/>
    <w:rsid w:val="00375439"/>
    <w:rsid w:val="0038795D"/>
    <w:rsid w:val="003C1B34"/>
    <w:rsid w:val="003C5575"/>
    <w:rsid w:val="003D2669"/>
    <w:rsid w:val="003E4B31"/>
    <w:rsid w:val="003E578E"/>
    <w:rsid w:val="00412830"/>
    <w:rsid w:val="00417A9B"/>
    <w:rsid w:val="00432444"/>
    <w:rsid w:val="00486BD1"/>
    <w:rsid w:val="00487DB3"/>
    <w:rsid w:val="00487E6B"/>
    <w:rsid w:val="004C6971"/>
    <w:rsid w:val="004D669A"/>
    <w:rsid w:val="004D6CDD"/>
    <w:rsid w:val="004E6364"/>
    <w:rsid w:val="004F4478"/>
    <w:rsid w:val="00511011"/>
    <w:rsid w:val="00532FE4"/>
    <w:rsid w:val="0055197A"/>
    <w:rsid w:val="00551C05"/>
    <w:rsid w:val="00560A36"/>
    <w:rsid w:val="00560B36"/>
    <w:rsid w:val="005719A4"/>
    <w:rsid w:val="005762B7"/>
    <w:rsid w:val="00581FDC"/>
    <w:rsid w:val="00594AE4"/>
    <w:rsid w:val="005A41DA"/>
    <w:rsid w:val="005B5A6E"/>
    <w:rsid w:val="005C057F"/>
    <w:rsid w:val="005E7890"/>
    <w:rsid w:val="005E79B9"/>
    <w:rsid w:val="005F3EAE"/>
    <w:rsid w:val="005F4AA7"/>
    <w:rsid w:val="005F5324"/>
    <w:rsid w:val="005F7B39"/>
    <w:rsid w:val="005F7DC2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5EC4"/>
    <w:rsid w:val="006839E1"/>
    <w:rsid w:val="006856FE"/>
    <w:rsid w:val="00685F1A"/>
    <w:rsid w:val="0069098E"/>
    <w:rsid w:val="006A149A"/>
    <w:rsid w:val="006B26B1"/>
    <w:rsid w:val="006C69EF"/>
    <w:rsid w:val="006D1BB3"/>
    <w:rsid w:val="006E3D31"/>
    <w:rsid w:val="006E6C0F"/>
    <w:rsid w:val="006F5AB8"/>
    <w:rsid w:val="007133F1"/>
    <w:rsid w:val="007153D4"/>
    <w:rsid w:val="00722AEC"/>
    <w:rsid w:val="00730601"/>
    <w:rsid w:val="007418CD"/>
    <w:rsid w:val="00744A05"/>
    <w:rsid w:val="0075044C"/>
    <w:rsid w:val="007678C3"/>
    <w:rsid w:val="00793B17"/>
    <w:rsid w:val="007A3B55"/>
    <w:rsid w:val="007F22A3"/>
    <w:rsid w:val="007F3476"/>
    <w:rsid w:val="007F762C"/>
    <w:rsid w:val="00817FA8"/>
    <w:rsid w:val="00833425"/>
    <w:rsid w:val="00835117"/>
    <w:rsid w:val="00851171"/>
    <w:rsid w:val="00854DE4"/>
    <w:rsid w:val="00870720"/>
    <w:rsid w:val="00871981"/>
    <w:rsid w:val="0087543C"/>
    <w:rsid w:val="00875729"/>
    <w:rsid w:val="00887B91"/>
    <w:rsid w:val="00890ECA"/>
    <w:rsid w:val="00894447"/>
    <w:rsid w:val="00895AA8"/>
    <w:rsid w:val="00897B41"/>
    <w:rsid w:val="008B4E07"/>
    <w:rsid w:val="008C3E59"/>
    <w:rsid w:val="008D40C3"/>
    <w:rsid w:val="008D6546"/>
    <w:rsid w:val="008D7DD7"/>
    <w:rsid w:val="008F1716"/>
    <w:rsid w:val="008F6C50"/>
    <w:rsid w:val="00905033"/>
    <w:rsid w:val="009321EF"/>
    <w:rsid w:val="00951184"/>
    <w:rsid w:val="0096179F"/>
    <w:rsid w:val="009674CB"/>
    <w:rsid w:val="0098172F"/>
    <w:rsid w:val="0098437E"/>
    <w:rsid w:val="0098739F"/>
    <w:rsid w:val="00987B33"/>
    <w:rsid w:val="009A1193"/>
    <w:rsid w:val="009B44EA"/>
    <w:rsid w:val="009B7A38"/>
    <w:rsid w:val="009D0C72"/>
    <w:rsid w:val="009D5EA3"/>
    <w:rsid w:val="009F1B63"/>
    <w:rsid w:val="00A1317B"/>
    <w:rsid w:val="00A17609"/>
    <w:rsid w:val="00A21B2D"/>
    <w:rsid w:val="00A238D1"/>
    <w:rsid w:val="00A24218"/>
    <w:rsid w:val="00A34E7D"/>
    <w:rsid w:val="00A36964"/>
    <w:rsid w:val="00A40AF0"/>
    <w:rsid w:val="00A51C14"/>
    <w:rsid w:val="00A52321"/>
    <w:rsid w:val="00A542FC"/>
    <w:rsid w:val="00A543DB"/>
    <w:rsid w:val="00A75226"/>
    <w:rsid w:val="00AA1717"/>
    <w:rsid w:val="00AB34F1"/>
    <w:rsid w:val="00AB48B4"/>
    <w:rsid w:val="00AD2E51"/>
    <w:rsid w:val="00AE1252"/>
    <w:rsid w:val="00AE2F50"/>
    <w:rsid w:val="00AE7DAF"/>
    <w:rsid w:val="00AF1D11"/>
    <w:rsid w:val="00AF39A9"/>
    <w:rsid w:val="00B036B0"/>
    <w:rsid w:val="00B24BA7"/>
    <w:rsid w:val="00B45306"/>
    <w:rsid w:val="00B458ED"/>
    <w:rsid w:val="00B77E7B"/>
    <w:rsid w:val="00B904C3"/>
    <w:rsid w:val="00B90701"/>
    <w:rsid w:val="00B966A6"/>
    <w:rsid w:val="00BA3860"/>
    <w:rsid w:val="00BB28F7"/>
    <w:rsid w:val="00BB66EA"/>
    <w:rsid w:val="00BD677F"/>
    <w:rsid w:val="00C02D1A"/>
    <w:rsid w:val="00C040E3"/>
    <w:rsid w:val="00C4312F"/>
    <w:rsid w:val="00C47D98"/>
    <w:rsid w:val="00C55797"/>
    <w:rsid w:val="00C72A9E"/>
    <w:rsid w:val="00C94198"/>
    <w:rsid w:val="00C94EEB"/>
    <w:rsid w:val="00CB0854"/>
    <w:rsid w:val="00CC1E53"/>
    <w:rsid w:val="00CD086A"/>
    <w:rsid w:val="00CE36D6"/>
    <w:rsid w:val="00D00D62"/>
    <w:rsid w:val="00D06864"/>
    <w:rsid w:val="00D30604"/>
    <w:rsid w:val="00D40685"/>
    <w:rsid w:val="00D41189"/>
    <w:rsid w:val="00D50580"/>
    <w:rsid w:val="00D54BF0"/>
    <w:rsid w:val="00D55B08"/>
    <w:rsid w:val="00D60295"/>
    <w:rsid w:val="00D6349E"/>
    <w:rsid w:val="00D74946"/>
    <w:rsid w:val="00D82267"/>
    <w:rsid w:val="00D904DE"/>
    <w:rsid w:val="00D9171B"/>
    <w:rsid w:val="00D94AF1"/>
    <w:rsid w:val="00D95379"/>
    <w:rsid w:val="00D954C3"/>
    <w:rsid w:val="00D97F00"/>
    <w:rsid w:val="00DB1308"/>
    <w:rsid w:val="00DB1EAC"/>
    <w:rsid w:val="00DC3B99"/>
    <w:rsid w:val="00DE57E0"/>
    <w:rsid w:val="00DF4B46"/>
    <w:rsid w:val="00E132AD"/>
    <w:rsid w:val="00E20A87"/>
    <w:rsid w:val="00E572A7"/>
    <w:rsid w:val="00E9225B"/>
    <w:rsid w:val="00EB2075"/>
    <w:rsid w:val="00EB696A"/>
    <w:rsid w:val="00EC07BB"/>
    <w:rsid w:val="00EC3622"/>
    <w:rsid w:val="00ED33BE"/>
    <w:rsid w:val="00EE07F6"/>
    <w:rsid w:val="00EE2193"/>
    <w:rsid w:val="00EE7D30"/>
    <w:rsid w:val="00EF5F4D"/>
    <w:rsid w:val="00F17A5A"/>
    <w:rsid w:val="00F17E4D"/>
    <w:rsid w:val="00F22812"/>
    <w:rsid w:val="00F25628"/>
    <w:rsid w:val="00F348B2"/>
    <w:rsid w:val="00F501FA"/>
    <w:rsid w:val="00F57684"/>
    <w:rsid w:val="00F60DBF"/>
    <w:rsid w:val="00F83828"/>
    <w:rsid w:val="00F84B8F"/>
    <w:rsid w:val="00F854F4"/>
    <w:rsid w:val="00F92B94"/>
    <w:rsid w:val="00FB10B5"/>
    <w:rsid w:val="00FB1880"/>
    <w:rsid w:val="00FB2DCE"/>
    <w:rsid w:val="00FC01ED"/>
    <w:rsid w:val="00FD1A3D"/>
    <w:rsid w:val="00FD2C5B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DAF22C97-54DE-4FCC-AF69-34F2912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"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112915"/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 Znak Znak Znak Znak"/>
    <w:basedOn w:val="Domylnaczcionkaakapitu"/>
    <w:locked/>
    <w:rsid w:val="005F5324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057FDB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927F-EA1B-4C94-8311-E27FAE9C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2868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Rafał Wdowicz</cp:lastModifiedBy>
  <cp:revision>50</cp:revision>
  <cp:lastPrinted>2021-05-24T07:30:00Z</cp:lastPrinted>
  <dcterms:created xsi:type="dcterms:W3CDTF">2017-03-16T10:33:00Z</dcterms:created>
  <dcterms:modified xsi:type="dcterms:W3CDTF">2021-05-25T06:58:00Z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2019-04-29T14:16:59.9516635Z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