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317E8" w14:textId="2954663F" w:rsidR="009505B7" w:rsidRPr="009505B7" w:rsidRDefault="009505B7" w:rsidP="009505B7">
      <w:pPr>
        <w:spacing w:after="0" w:line="240" w:lineRule="auto"/>
        <w:jc w:val="right"/>
        <w:rPr>
          <w:rFonts w:ascii="Calibri" w:eastAsia="Times New Roman" w:hAnsi="Calibri" w:cs="Times New Roman"/>
          <w:b/>
          <w:bCs/>
          <w:i/>
          <w:iCs/>
          <w:sz w:val="16"/>
          <w:szCs w:val="20"/>
          <w:lang w:eastAsia="pl-PL"/>
        </w:rPr>
      </w:pPr>
      <w:r w:rsidRPr="009505B7">
        <w:rPr>
          <w:rFonts w:ascii="Calibri" w:eastAsia="Times New Roman" w:hAnsi="Calibri" w:cs="Times New Roman"/>
          <w:b/>
          <w:bCs/>
          <w:i/>
          <w:iCs/>
          <w:sz w:val="16"/>
          <w:szCs w:val="20"/>
          <w:lang w:eastAsia="pl-PL"/>
        </w:rPr>
        <w:t xml:space="preserve">Załącznik nr </w:t>
      </w:r>
      <w:r w:rsidR="0068016C">
        <w:rPr>
          <w:rFonts w:ascii="Calibri" w:eastAsia="Times New Roman" w:hAnsi="Calibri" w:cs="Times New Roman"/>
          <w:b/>
          <w:bCs/>
          <w:i/>
          <w:iCs/>
          <w:sz w:val="16"/>
          <w:szCs w:val="20"/>
          <w:lang w:eastAsia="pl-PL"/>
        </w:rPr>
        <w:t>2</w:t>
      </w:r>
    </w:p>
    <w:p w14:paraId="110DE5AC" w14:textId="2EF8FD7C" w:rsidR="009505B7" w:rsidRPr="009505B7" w:rsidRDefault="00F444E2" w:rsidP="00610C31">
      <w:pPr>
        <w:spacing w:after="0" w:line="240" w:lineRule="auto"/>
        <w:jc w:val="right"/>
        <w:rPr>
          <w:rFonts w:ascii="Calibri" w:eastAsia="Times New Roman" w:hAnsi="Calibri" w:cs="Times New Roman"/>
          <w:b/>
          <w:bCs/>
          <w:i/>
          <w:iCs/>
          <w:sz w:val="16"/>
          <w:szCs w:val="20"/>
          <w:lang w:eastAsia="pl-PL"/>
        </w:rPr>
      </w:pPr>
      <w:r>
        <w:rPr>
          <w:rFonts w:ascii="Calibri" w:eastAsia="Times New Roman" w:hAnsi="Calibri" w:cs="Times New Roman"/>
          <w:b/>
          <w:bCs/>
          <w:i/>
          <w:iCs/>
          <w:sz w:val="16"/>
          <w:szCs w:val="20"/>
          <w:lang w:eastAsia="pl-PL"/>
        </w:rPr>
        <w:t>do Umowy Inwestycyjnej</w:t>
      </w:r>
      <w:r w:rsidR="009505B7" w:rsidRPr="009505B7">
        <w:rPr>
          <w:rFonts w:ascii="Calibri" w:eastAsia="Times New Roman" w:hAnsi="Calibri" w:cs="Times New Roman"/>
          <w:b/>
          <w:bCs/>
          <w:i/>
          <w:iCs/>
          <w:sz w:val="16"/>
          <w:szCs w:val="20"/>
          <w:lang w:eastAsia="pl-PL"/>
        </w:rPr>
        <w:t xml:space="preserve"> nr </w:t>
      </w:r>
      <w:r w:rsidR="00610C31">
        <w:rPr>
          <w:rFonts w:ascii="Calibri" w:eastAsia="Times New Roman" w:hAnsi="Calibri" w:cs="Times New Roman"/>
          <w:b/>
          <w:bCs/>
          <w:i/>
          <w:iCs/>
          <w:sz w:val="16"/>
          <w:szCs w:val="20"/>
          <w:lang w:eastAsia="pl-PL"/>
        </w:rPr>
        <w:t>……………………….</w:t>
      </w:r>
    </w:p>
    <w:p w14:paraId="71B64434" w14:textId="77777777" w:rsidR="00346CB0" w:rsidRPr="000C42CE" w:rsidRDefault="00346CB0" w:rsidP="00651784">
      <w:pPr>
        <w:pStyle w:val="Akapitzlist"/>
        <w:spacing w:before="120" w:after="120"/>
        <w:ind w:left="0"/>
        <w:contextualSpacing w:val="0"/>
        <w:rPr>
          <w:b/>
        </w:rPr>
      </w:pPr>
    </w:p>
    <w:p w14:paraId="736A8294" w14:textId="76BD0CD5" w:rsidR="005F3EAE" w:rsidRPr="000C42CE" w:rsidRDefault="00A543DB" w:rsidP="00651784">
      <w:pPr>
        <w:pStyle w:val="Akapitzlist"/>
        <w:spacing w:before="120" w:after="120"/>
        <w:ind w:left="0"/>
        <w:contextualSpacing w:val="0"/>
        <w:jc w:val="center"/>
        <w:rPr>
          <w:b/>
        </w:rPr>
      </w:pPr>
      <w:r w:rsidRPr="000C42CE">
        <w:rPr>
          <w:b/>
        </w:rPr>
        <w:t xml:space="preserve">Karta Produktu </w:t>
      </w:r>
      <w:r w:rsidR="00242BE0" w:rsidRPr="000C42CE">
        <w:rPr>
          <w:b/>
        </w:rPr>
        <w:t xml:space="preserve">Pożyczka </w:t>
      </w:r>
      <w:r w:rsidR="00F7735E" w:rsidRPr="000C42CE">
        <w:rPr>
          <w:b/>
        </w:rPr>
        <w:t>na rewitalizację</w:t>
      </w:r>
      <w:r w:rsidR="0065711C" w:rsidRPr="000C42CE">
        <w:rPr>
          <w:b/>
        </w:rPr>
        <w:t xml:space="preserve"> </w:t>
      </w:r>
      <w:r w:rsidR="00F444E2">
        <w:rPr>
          <w:b/>
        </w:rPr>
        <w:br/>
        <w:t>(Umowa Operacyjna</w:t>
      </w:r>
      <w:r w:rsidR="004E1BF1">
        <w:rPr>
          <w:b/>
        </w:rPr>
        <w:t xml:space="preserve"> nr </w:t>
      </w:r>
      <w:r w:rsidR="004E1BF1" w:rsidRPr="004E1BF1">
        <w:rPr>
          <w:rFonts w:ascii="Calibri" w:eastAsia="Times New Roman" w:hAnsi="Calibri" w:cs="Times New Roman"/>
          <w:b/>
          <w:bCs/>
          <w:i/>
          <w:iCs/>
          <w:lang w:eastAsia="pl-PL"/>
        </w:rPr>
        <w:t>2/RPMP/1920/2020/0/DIF/341</w:t>
      </w:r>
      <w:r w:rsidR="004E1BF1">
        <w:rPr>
          <w:rFonts w:ascii="Calibri" w:eastAsia="Times New Roman" w:hAnsi="Calibri" w:cs="Times New Roman"/>
          <w:b/>
          <w:bCs/>
          <w:i/>
          <w:iCs/>
          <w:lang w:eastAsia="pl-PL"/>
        </w:rPr>
        <w:t>)</w:t>
      </w:r>
    </w:p>
    <w:p w14:paraId="58204AAB" w14:textId="77777777" w:rsidR="005F3EAE" w:rsidRPr="000C42CE" w:rsidRDefault="005F3EAE" w:rsidP="00651784">
      <w:pPr>
        <w:pStyle w:val="Akapitzlist"/>
        <w:spacing w:before="120" w:after="120"/>
        <w:ind w:left="0"/>
        <w:contextualSpacing w:val="0"/>
        <w:jc w:val="both"/>
        <w:rPr>
          <w:b/>
        </w:rPr>
      </w:pPr>
    </w:p>
    <w:p w14:paraId="37F506F7" w14:textId="75023756" w:rsidR="007678C3" w:rsidRPr="000C42CE" w:rsidRDefault="007678C3" w:rsidP="00651784">
      <w:pPr>
        <w:pStyle w:val="Akapitzlist"/>
        <w:numPr>
          <w:ilvl w:val="0"/>
          <w:numId w:val="13"/>
        </w:numPr>
        <w:spacing w:before="120" w:after="120"/>
        <w:ind w:left="426" w:hanging="426"/>
        <w:contextualSpacing w:val="0"/>
        <w:jc w:val="both"/>
        <w:rPr>
          <w:b/>
        </w:rPr>
      </w:pPr>
      <w:r w:rsidRPr="000C42CE">
        <w:rPr>
          <w:b/>
        </w:rPr>
        <w:t xml:space="preserve">Podstawowe parametry </w:t>
      </w:r>
      <w:r w:rsidR="005F7B39" w:rsidRPr="000C42CE">
        <w:rPr>
          <w:b/>
        </w:rPr>
        <w:t xml:space="preserve">Pożyczki </w:t>
      </w:r>
    </w:p>
    <w:p w14:paraId="4E19050D" w14:textId="264A95CC" w:rsidR="007678C3" w:rsidRPr="000C42CE" w:rsidRDefault="007678C3" w:rsidP="00651784">
      <w:pPr>
        <w:pStyle w:val="Akapitzlist"/>
        <w:numPr>
          <w:ilvl w:val="0"/>
          <w:numId w:val="11"/>
        </w:numPr>
        <w:spacing w:before="120" w:after="120"/>
        <w:ind w:left="426" w:hanging="426"/>
        <w:contextualSpacing w:val="0"/>
        <w:jc w:val="both"/>
      </w:pPr>
      <w:r w:rsidRPr="000C42CE">
        <w:t xml:space="preserve">Wartość </w:t>
      </w:r>
      <w:r w:rsidR="00D00D62" w:rsidRPr="000C42CE">
        <w:t>Pożyczki</w:t>
      </w:r>
      <w:r w:rsidR="00242BE0" w:rsidRPr="000C42CE">
        <w:t xml:space="preserve"> </w:t>
      </w:r>
      <w:r w:rsidR="005F7B39" w:rsidRPr="000C42CE">
        <w:t xml:space="preserve">wynosi od </w:t>
      </w:r>
      <w:r w:rsidR="00F7735E" w:rsidRPr="000C42CE">
        <w:t>300 000,00 PLN</w:t>
      </w:r>
      <w:r w:rsidR="00B81346" w:rsidRPr="000C42CE">
        <w:t xml:space="preserve"> </w:t>
      </w:r>
      <w:r w:rsidR="005F7B39" w:rsidRPr="000C42CE">
        <w:t xml:space="preserve">do </w:t>
      </w:r>
      <w:r w:rsidR="00F7735E" w:rsidRPr="000C42CE">
        <w:t>7 000 000,00 PLN</w:t>
      </w:r>
      <w:r w:rsidRPr="000C42CE">
        <w:t>.</w:t>
      </w:r>
    </w:p>
    <w:p w14:paraId="1D6999E5" w14:textId="0938145E" w:rsidR="00875729" w:rsidRPr="000C42CE" w:rsidRDefault="00FD1A3D">
      <w:pPr>
        <w:pStyle w:val="Akapitzlist"/>
        <w:numPr>
          <w:ilvl w:val="0"/>
          <w:numId w:val="11"/>
        </w:numPr>
        <w:spacing w:before="120" w:after="120"/>
        <w:contextualSpacing w:val="0"/>
        <w:jc w:val="both"/>
      </w:pPr>
      <w:r w:rsidRPr="000C42CE">
        <w:t xml:space="preserve">Wkład własny </w:t>
      </w:r>
      <w:r w:rsidR="0069098E" w:rsidRPr="000C42CE">
        <w:t xml:space="preserve">Pożyczkobiorcy </w:t>
      </w:r>
      <w:r w:rsidRPr="000C42CE">
        <w:t>nie jest wymagany</w:t>
      </w:r>
      <w:r w:rsidR="00441208" w:rsidRPr="000C42CE">
        <w:t xml:space="preserve"> , z zastrzeżeniem pkt. V</w:t>
      </w:r>
      <w:r w:rsidR="001F1E1B" w:rsidRPr="000C42CE">
        <w:t>I</w:t>
      </w:r>
      <w:r w:rsidR="00441208" w:rsidRPr="000C42CE">
        <w:t>.</w:t>
      </w:r>
      <w:r w:rsidR="001F1E1B" w:rsidRPr="000C42CE">
        <w:t>8</w:t>
      </w:r>
      <w:r w:rsidR="00441208" w:rsidRPr="000C42CE">
        <w:t>.</w:t>
      </w:r>
    </w:p>
    <w:p w14:paraId="7F8CD016" w14:textId="247B3586" w:rsidR="00A51C14" w:rsidRPr="000C42CE" w:rsidRDefault="00A51C14" w:rsidP="00651784">
      <w:pPr>
        <w:pStyle w:val="Akapitzlist"/>
        <w:numPr>
          <w:ilvl w:val="0"/>
          <w:numId w:val="11"/>
        </w:numPr>
        <w:spacing w:before="120" w:after="120"/>
        <w:ind w:left="426" w:hanging="426"/>
        <w:contextualSpacing w:val="0"/>
        <w:jc w:val="both"/>
      </w:pPr>
      <w:r w:rsidRPr="000C42CE">
        <w:t xml:space="preserve">Maksymalny termin na wypłatę całkowitej kwoty </w:t>
      </w:r>
      <w:r w:rsidR="00A21B2D" w:rsidRPr="000C42CE">
        <w:t xml:space="preserve">Pożyczki </w:t>
      </w:r>
      <w:r w:rsidR="005F7B39" w:rsidRPr="000C42CE">
        <w:t xml:space="preserve">przez </w:t>
      </w:r>
      <w:r w:rsidR="000C42CE" w:rsidRPr="000C42CE">
        <w:t xml:space="preserve">Małopolską Agencję Rozwoju Regionalnego S.A. </w:t>
      </w:r>
      <w:r w:rsidR="005F7B39" w:rsidRPr="000C42CE">
        <w:t xml:space="preserve">wynosi </w:t>
      </w:r>
      <w:r w:rsidR="00AC4D87" w:rsidRPr="000C42CE">
        <w:t xml:space="preserve">360  </w:t>
      </w:r>
      <w:r w:rsidRPr="000C42CE">
        <w:t>dni k</w:t>
      </w:r>
      <w:r w:rsidR="00D00D62" w:rsidRPr="000C42CE">
        <w:t>alendarzowych od dnia zawarcia u</w:t>
      </w:r>
      <w:r w:rsidRPr="000C42CE">
        <w:t xml:space="preserve">mowy </w:t>
      </w:r>
      <w:r w:rsidR="00D00D62" w:rsidRPr="000C42CE">
        <w:t>Pożyczki</w:t>
      </w:r>
      <w:r w:rsidRPr="000C42CE">
        <w:t xml:space="preserve">. </w:t>
      </w:r>
    </w:p>
    <w:p w14:paraId="6386264E" w14:textId="71EB385D" w:rsidR="00097D21" w:rsidRPr="000C42CE" w:rsidRDefault="00097D21" w:rsidP="00651784">
      <w:pPr>
        <w:pStyle w:val="Akapitzlist"/>
        <w:numPr>
          <w:ilvl w:val="0"/>
          <w:numId w:val="11"/>
        </w:numPr>
        <w:spacing w:before="120" w:after="120"/>
        <w:ind w:left="426" w:hanging="426"/>
        <w:contextualSpacing w:val="0"/>
        <w:jc w:val="both"/>
      </w:pPr>
      <w:r w:rsidRPr="000C42CE">
        <w:t xml:space="preserve">Maksymalny okres spłaty </w:t>
      </w:r>
      <w:r w:rsidR="00A21B2D" w:rsidRPr="000C42CE">
        <w:t xml:space="preserve">Pożyczki </w:t>
      </w:r>
      <w:r w:rsidR="005F7B39" w:rsidRPr="000C42CE">
        <w:t xml:space="preserve">nie może być dłuższy niż </w:t>
      </w:r>
      <w:r w:rsidR="00AC4D87" w:rsidRPr="000C42CE">
        <w:t>240</w:t>
      </w:r>
      <w:r w:rsidRPr="000C42CE">
        <w:t xml:space="preserve"> miesięcy</w:t>
      </w:r>
      <w:r w:rsidR="00AE7DAF" w:rsidRPr="000C42CE">
        <w:t>, od momentu jej uruchomienia</w:t>
      </w:r>
      <w:r w:rsidR="00854DE4" w:rsidRPr="000C42CE">
        <w:t xml:space="preserve">, tj. wypłaty jakiejkolwiek kwoty </w:t>
      </w:r>
      <w:r w:rsidR="00A21B2D" w:rsidRPr="000C42CE">
        <w:t>Pożyczki</w:t>
      </w:r>
      <w:r w:rsidRPr="000C42CE">
        <w:t>.</w:t>
      </w:r>
    </w:p>
    <w:p w14:paraId="2E4B2D9B" w14:textId="1B45C2FF" w:rsidR="001465A3" w:rsidRPr="000C42CE" w:rsidRDefault="00CC1E53" w:rsidP="00651784">
      <w:pPr>
        <w:pStyle w:val="Akapitzlist"/>
        <w:numPr>
          <w:ilvl w:val="0"/>
          <w:numId w:val="11"/>
        </w:numPr>
        <w:spacing w:before="120" w:after="240"/>
        <w:ind w:left="425" w:hanging="425"/>
        <w:contextualSpacing w:val="0"/>
        <w:jc w:val="both"/>
        <w:rPr>
          <w:b/>
        </w:rPr>
      </w:pPr>
      <w:r w:rsidRPr="000C42CE">
        <w:t xml:space="preserve">Maksymalna karencja w spłacie </w:t>
      </w:r>
      <w:r w:rsidR="00346CB0" w:rsidRPr="000C42CE">
        <w:t xml:space="preserve">kapitału </w:t>
      </w:r>
      <w:r w:rsidR="00A21B2D" w:rsidRPr="000C42CE">
        <w:t xml:space="preserve">Pożyczki </w:t>
      </w:r>
      <w:r w:rsidR="005F7B39" w:rsidRPr="000C42CE">
        <w:t xml:space="preserve">wynosi </w:t>
      </w:r>
      <w:r w:rsidR="00AC4D87" w:rsidRPr="000C42CE">
        <w:t>12</w:t>
      </w:r>
      <w:r w:rsidRPr="000C42CE">
        <w:t xml:space="preserve"> miesięcy</w:t>
      </w:r>
      <w:r w:rsidR="006856FE" w:rsidRPr="000C42CE">
        <w:t xml:space="preserve"> od dnia jej uruchomienia</w:t>
      </w:r>
      <w:r w:rsidRPr="000C42CE">
        <w:t xml:space="preserve">, przy czym karencja nie wydłuża okresu spłaty </w:t>
      </w:r>
      <w:r w:rsidR="00A21B2D" w:rsidRPr="000C42CE">
        <w:t>Pożyczki</w:t>
      </w:r>
      <w:r w:rsidR="00F53C52" w:rsidRPr="000C42CE">
        <w:t>,</w:t>
      </w:r>
      <w:r w:rsidR="00F53C52" w:rsidRPr="000C42CE">
        <w:rPr>
          <w:rFonts w:ascii="Calibri" w:eastAsia="Calibri" w:hAnsi="Calibri"/>
        </w:rPr>
        <w:t xml:space="preserve"> o którym mowa w pkt.I.</w:t>
      </w:r>
      <w:r w:rsidR="009F4435" w:rsidRPr="000C42CE">
        <w:rPr>
          <w:rFonts w:ascii="Calibri" w:eastAsia="Calibri" w:hAnsi="Calibri"/>
        </w:rPr>
        <w:t>4</w:t>
      </w:r>
      <w:r w:rsidR="00F53C52" w:rsidRPr="000C42CE">
        <w:rPr>
          <w:rFonts w:ascii="Calibri" w:eastAsia="Calibri" w:hAnsi="Calibri"/>
        </w:rPr>
        <w:t xml:space="preserve"> powyżej</w:t>
      </w:r>
      <w:r w:rsidR="00A51C14" w:rsidRPr="000C42CE">
        <w:t>.</w:t>
      </w:r>
      <w:r w:rsidR="00BB28F7" w:rsidRPr="000C42CE">
        <w:t xml:space="preserve"> </w:t>
      </w:r>
    </w:p>
    <w:p w14:paraId="15216030" w14:textId="7111CEA2" w:rsidR="001465A3" w:rsidRPr="000C42CE" w:rsidRDefault="00FD1A3D" w:rsidP="00651784">
      <w:pPr>
        <w:pStyle w:val="Akapitzlist"/>
        <w:numPr>
          <w:ilvl w:val="0"/>
          <w:numId w:val="13"/>
        </w:numPr>
        <w:spacing w:before="120" w:after="120"/>
        <w:ind w:left="426" w:hanging="426"/>
        <w:contextualSpacing w:val="0"/>
        <w:jc w:val="both"/>
        <w:rPr>
          <w:b/>
        </w:rPr>
      </w:pPr>
      <w:r w:rsidRPr="000C42CE">
        <w:rPr>
          <w:b/>
        </w:rPr>
        <w:t>Z</w:t>
      </w:r>
      <w:r w:rsidR="005F3EAE" w:rsidRPr="000C42CE">
        <w:rPr>
          <w:b/>
        </w:rPr>
        <w:t>asady dotyczące</w:t>
      </w:r>
      <w:r w:rsidR="001465A3" w:rsidRPr="000C42CE">
        <w:rPr>
          <w:b/>
        </w:rPr>
        <w:t xml:space="preserve"> udzielania</w:t>
      </w:r>
      <w:r w:rsidR="00417A9B" w:rsidRPr="000C42CE">
        <w:rPr>
          <w:b/>
        </w:rPr>
        <w:t xml:space="preserve"> i udokumentowania</w:t>
      </w:r>
      <w:r w:rsidR="001465A3" w:rsidRPr="000C42CE">
        <w:rPr>
          <w:b/>
        </w:rPr>
        <w:t xml:space="preserve"> </w:t>
      </w:r>
      <w:r w:rsidR="00A21B2D" w:rsidRPr="000C42CE">
        <w:rPr>
          <w:b/>
        </w:rPr>
        <w:t xml:space="preserve">Pożyczki </w:t>
      </w:r>
      <w:r w:rsidR="00932B5D" w:rsidRPr="000C42CE">
        <w:rPr>
          <w:b/>
        </w:rPr>
        <w:t>na rewitalizację</w:t>
      </w:r>
    </w:p>
    <w:p w14:paraId="209729E3" w14:textId="6514ADEF" w:rsidR="001465A3" w:rsidRPr="000C42CE" w:rsidRDefault="001465A3" w:rsidP="00651784">
      <w:pPr>
        <w:pStyle w:val="Akapitzlist"/>
        <w:numPr>
          <w:ilvl w:val="0"/>
          <w:numId w:val="12"/>
        </w:numPr>
        <w:spacing w:before="120" w:after="120"/>
        <w:ind w:left="426" w:hanging="426"/>
        <w:contextualSpacing w:val="0"/>
        <w:jc w:val="both"/>
      </w:pPr>
      <w:r w:rsidRPr="000C42CE">
        <w:t xml:space="preserve">Udzielenie </w:t>
      </w:r>
      <w:r w:rsidR="00A21B2D" w:rsidRPr="000C42CE">
        <w:t xml:space="preserve">Pożyczki </w:t>
      </w:r>
      <w:r w:rsidRPr="000C42CE">
        <w:t xml:space="preserve">nie może być uzależnione od zawarcia przez </w:t>
      </w:r>
      <w:r w:rsidR="0069098E" w:rsidRPr="000C42CE">
        <w:t xml:space="preserve">Pożyczkobiorcę </w:t>
      </w:r>
      <w:r w:rsidRPr="000C42CE">
        <w:t>dodatkowych umów (w szczególności dotyczących zakupu dodatkowych usług</w:t>
      </w:r>
      <w:r w:rsidR="00EE07F6" w:rsidRPr="000C42CE">
        <w:t xml:space="preserve">, </w:t>
      </w:r>
      <w:r w:rsidR="002612FF" w:rsidRPr="000C42CE">
        <w:t>produktów finansowych lub ubezpieczeniowych</w:t>
      </w:r>
      <w:r w:rsidR="00AD4613">
        <w:t>) z Małopolską Agencją Rozwoju Regionalnego</w:t>
      </w:r>
      <w:r w:rsidR="00FD1A3D" w:rsidRPr="000C42CE">
        <w:t xml:space="preserve"> </w:t>
      </w:r>
      <w:r w:rsidR="00AD4613">
        <w:t xml:space="preserve">S.A. </w:t>
      </w:r>
      <w:r w:rsidRPr="000C42CE">
        <w:t>lub podmiotem partnersk</w:t>
      </w:r>
      <w:r w:rsidR="00AD4613">
        <w:t>im lub powiązanym w stosunku do Małopolskiej Agencji Rozwoju Regionalnego S.A.</w:t>
      </w:r>
      <w:r w:rsidRPr="000C42CE">
        <w:t xml:space="preserve">; powyższe nie dotyczy </w:t>
      </w:r>
      <w:r w:rsidR="003408A3" w:rsidRPr="000C42CE">
        <w:t xml:space="preserve">powszechnie występujących na rynku oraz standardowo stosowanych przez </w:t>
      </w:r>
      <w:r w:rsidR="00AD4613">
        <w:t>Małopolską Agencję Rozwoju Regionalnego S. A.</w:t>
      </w:r>
      <w:r w:rsidR="00FD1A3D" w:rsidRPr="000C42CE">
        <w:t xml:space="preserve"> </w:t>
      </w:r>
      <w:r w:rsidRPr="000C42CE">
        <w:t xml:space="preserve">zabezpieczeń ustanawianych przez </w:t>
      </w:r>
      <w:r w:rsidR="0069098E" w:rsidRPr="000C42CE">
        <w:t xml:space="preserve">Pożyczkobiorcę </w:t>
      </w:r>
      <w:r w:rsidRPr="000C42CE">
        <w:t xml:space="preserve">na rzecz </w:t>
      </w:r>
      <w:r w:rsidR="00AD4613">
        <w:t>Małopolskiej Agencji Rozwoju Regionalnego S.A.</w:t>
      </w:r>
      <w:r w:rsidR="002C600C">
        <w:t xml:space="preserve"> </w:t>
      </w:r>
      <w:r w:rsidRPr="000C42CE">
        <w:t xml:space="preserve">w związku z zawieraną umową </w:t>
      </w:r>
      <w:r w:rsidR="00A21B2D" w:rsidRPr="000C42CE">
        <w:t>Pożyczki</w:t>
      </w:r>
      <w:r w:rsidR="00B904C3" w:rsidRPr="000C42CE">
        <w:t>,</w:t>
      </w:r>
      <w:r w:rsidR="002C600C">
        <w:br/>
      </w:r>
      <w:r w:rsidR="00B904C3" w:rsidRPr="000C42CE">
        <w:t xml:space="preserve">z zastrzeżeniem, iż w przypadku zabezpieczenia takiego jak „cesja praw z polisy ubezpieczeniowej” </w:t>
      </w:r>
      <w:r w:rsidR="0069098E" w:rsidRPr="000C42CE">
        <w:t xml:space="preserve">Pożyczkobiorca </w:t>
      </w:r>
      <w:r w:rsidR="00B904C3" w:rsidRPr="000C42CE">
        <w:t>ma</w:t>
      </w:r>
      <w:r w:rsidR="003C5575" w:rsidRPr="000C42CE">
        <w:t> </w:t>
      </w:r>
      <w:r w:rsidR="00B904C3" w:rsidRPr="000C42CE">
        <w:t>możliwość wyboru oferty spośród ubezpieczycieli dostępnych na rynku.</w:t>
      </w:r>
    </w:p>
    <w:p w14:paraId="570C6081" w14:textId="6A3EA395" w:rsidR="00FD2C5B" w:rsidRPr="000C42CE" w:rsidRDefault="005F7B39" w:rsidP="00651784">
      <w:pPr>
        <w:pStyle w:val="Akapitzlist"/>
        <w:numPr>
          <w:ilvl w:val="0"/>
          <w:numId w:val="12"/>
        </w:numPr>
        <w:spacing w:before="120" w:after="120"/>
        <w:ind w:left="426" w:hanging="426"/>
        <w:contextualSpacing w:val="0"/>
        <w:jc w:val="both"/>
      </w:pPr>
      <w:r w:rsidRPr="000C42CE">
        <w:t>Wydatkowanie środków Pożyczki musi zostać należycie udokumentowane w </w:t>
      </w:r>
      <w:r w:rsidR="006E6C0F" w:rsidRPr="000C42CE">
        <w:t xml:space="preserve">terminie do </w:t>
      </w:r>
      <w:r w:rsidR="006C05FC" w:rsidRPr="000C42CE">
        <w:t>180</w:t>
      </w:r>
      <w:r w:rsidRPr="000C42CE">
        <w:t xml:space="preserve"> dni od dnia wypłaty całkowitej kwoty Pożyczki, przy czym termin ten dotyczy daty wystawienia dokumentów potwierdzających wydatkowanie środków. W uzasadnionych przypadkach, na wniosek </w:t>
      </w:r>
      <w:r w:rsidR="0069098E" w:rsidRPr="000C42CE">
        <w:t xml:space="preserve">Pożyczkobiorcy </w:t>
      </w:r>
      <w:r w:rsidR="000C42CE" w:rsidRPr="000C42CE">
        <w:t>Małopolska Agencja Rozwoju Regionalnego S.A.</w:t>
      </w:r>
      <w:r w:rsidRPr="000C42CE">
        <w:t xml:space="preserve"> może zaakceptować wydłużenie tego terminu</w:t>
      </w:r>
      <w:r w:rsidR="006E6C0F" w:rsidRPr="000C42CE">
        <w:t xml:space="preserve"> maksymalnie o kolejne </w:t>
      </w:r>
      <w:r w:rsidR="006C05FC" w:rsidRPr="000C42CE">
        <w:t>180</w:t>
      </w:r>
      <w:r w:rsidR="005B2ECD" w:rsidRPr="000C42CE">
        <w:t xml:space="preserve"> </w:t>
      </w:r>
      <w:r w:rsidRPr="000C42CE">
        <w:t xml:space="preserve">dni ze względu na charakter inwestycji. </w:t>
      </w:r>
    </w:p>
    <w:p w14:paraId="3C773000" w14:textId="7F687036" w:rsidR="006E6C0F" w:rsidRPr="000C42CE" w:rsidRDefault="005F7B39" w:rsidP="00651784">
      <w:pPr>
        <w:pStyle w:val="Akapitzlist"/>
        <w:numPr>
          <w:ilvl w:val="0"/>
          <w:numId w:val="12"/>
        </w:numPr>
        <w:spacing w:before="120" w:after="120"/>
        <w:ind w:left="426" w:hanging="426"/>
        <w:contextualSpacing w:val="0"/>
        <w:jc w:val="both"/>
      </w:pPr>
      <w:r w:rsidRPr="000C42CE">
        <w:t>Dokumentem potwierdzającym wydatkowanie środków zgodnie z celem, na jaki zostały przyznane jest faktura lub dokument równoważny w rozumieniu przepisów prawa krajowego</w:t>
      </w:r>
      <w:r w:rsidR="009674CB" w:rsidRPr="000C42CE">
        <w:t xml:space="preserve">, wystawiony nie wcześniej niż w dniu złożenia wniosku o udzielenie </w:t>
      </w:r>
      <w:r w:rsidR="00AB48B4" w:rsidRPr="000C42CE">
        <w:t>Pożyczki</w:t>
      </w:r>
      <w:r w:rsidR="009674CB" w:rsidRPr="000C42CE">
        <w:t xml:space="preserve">. </w:t>
      </w:r>
      <w:r w:rsidR="00AB48B4" w:rsidRPr="000C42CE">
        <w:t>Pożyczkodawca</w:t>
      </w:r>
      <w:r w:rsidR="009674CB" w:rsidRPr="000C42CE">
        <w:t xml:space="preserve"> może przyjąć </w:t>
      </w:r>
      <w:r w:rsidR="00DA1533" w:rsidRPr="000C42CE">
        <w:br/>
      </w:r>
      <w:r w:rsidR="009674CB" w:rsidRPr="000C42CE">
        <w:t xml:space="preserve">do rozliczenia dokument potwierdzający wydatkowanie </w:t>
      </w:r>
      <w:r w:rsidR="00AB48B4" w:rsidRPr="000C42CE">
        <w:t>Pożyczki</w:t>
      </w:r>
      <w:r w:rsidR="009674CB" w:rsidRPr="000C42CE">
        <w:t xml:space="preserve"> wystawiony z datą wcześniejszą, pod warunkiem, że pozyska on wiarygodne dowody, że przedstawiony dokument nie został opłacony przed dniem złożenia wniosku o udzielenie Pożyczki</w:t>
      </w:r>
      <w:r w:rsidRPr="000C42CE">
        <w:t>.</w:t>
      </w:r>
    </w:p>
    <w:p w14:paraId="55C4FFD3" w14:textId="26B9170B" w:rsidR="001465A3" w:rsidRPr="000C42CE" w:rsidRDefault="006E6C0F" w:rsidP="00651784">
      <w:pPr>
        <w:pStyle w:val="Akapitzlist"/>
        <w:numPr>
          <w:ilvl w:val="0"/>
          <w:numId w:val="12"/>
        </w:numPr>
        <w:spacing w:before="120" w:after="240"/>
        <w:ind w:left="425" w:hanging="425"/>
        <w:contextualSpacing w:val="0"/>
        <w:jc w:val="both"/>
      </w:pPr>
      <w:r w:rsidRPr="000C42CE">
        <w:t xml:space="preserve">Wszelka dokumentacja potwierdzająca wydatkowanie środków przez </w:t>
      </w:r>
      <w:r w:rsidR="0069098E" w:rsidRPr="000C42CE">
        <w:t xml:space="preserve">Pożyczkobiorcę </w:t>
      </w:r>
      <w:r w:rsidRPr="000C42CE">
        <w:t xml:space="preserve">powinna być, co do zasady, sporządzona w języku polskim, a w przypadku dokumentów wystawianych w języku </w:t>
      </w:r>
      <w:r w:rsidRPr="000C42CE">
        <w:lastRenderedPageBreak/>
        <w:t xml:space="preserve">innym niż język polski, powinna zostać przetłumaczona na język polski przez </w:t>
      </w:r>
      <w:r w:rsidR="0069098E" w:rsidRPr="000C42CE">
        <w:t xml:space="preserve">Pożyczkobiorcę </w:t>
      </w:r>
      <w:r w:rsidRPr="000C42CE">
        <w:t xml:space="preserve">lub </w:t>
      </w:r>
      <w:r w:rsidR="00DA1533" w:rsidRPr="000C42CE">
        <w:br/>
      </w:r>
      <w:r w:rsidRPr="000C42CE">
        <w:t>na jego zlecenie.</w:t>
      </w:r>
    </w:p>
    <w:p w14:paraId="4AF2C08B" w14:textId="4FC00CA0" w:rsidR="00EC07BB" w:rsidRPr="000C42CE" w:rsidRDefault="00EC07BB" w:rsidP="00651784">
      <w:pPr>
        <w:pStyle w:val="Akapitzlist"/>
        <w:keepNext/>
        <w:numPr>
          <w:ilvl w:val="0"/>
          <w:numId w:val="13"/>
        </w:numPr>
        <w:spacing w:before="120" w:after="120"/>
        <w:contextualSpacing w:val="0"/>
        <w:jc w:val="both"/>
        <w:rPr>
          <w:b/>
        </w:rPr>
      </w:pPr>
      <w:r w:rsidRPr="000C42CE">
        <w:rPr>
          <w:b/>
        </w:rPr>
        <w:t>Przeznaczenie finansowania (Cele Inwestycji)</w:t>
      </w:r>
    </w:p>
    <w:p w14:paraId="2F209FE1" w14:textId="1478552D" w:rsidR="000F0392" w:rsidRPr="000C42CE" w:rsidRDefault="00CE1D2A" w:rsidP="00651784">
      <w:pPr>
        <w:keepNext/>
        <w:numPr>
          <w:ilvl w:val="0"/>
          <w:numId w:val="31"/>
        </w:numPr>
        <w:spacing w:before="120" w:after="120"/>
        <w:ind w:left="426" w:hanging="357"/>
        <w:jc w:val="both"/>
        <w:rPr>
          <w:rFonts w:ascii="Calibri" w:eastAsia="Times New Roman" w:hAnsi="Calibri" w:cs="Times New Roman"/>
          <w:iCs/>
          <w:lang w:eastAsia="pl-PL"/>
        </w:rPr>
      </w:pPr>
      <w:r w:rsidRPr="000C42CE">
        <w:rPr>
          <w:rFonts w:ascii="Calibri" w:eastAsia="Times New Roman" w:hAnsi="Calibri" w:cs="Times New Roman"/>
          <w:iCs/>
          <w:lang w:eastAsia="pl-PL"/>
        </w:rPr>
        <w:t xml:space="preserve">Warunkiem ubiegania się o wsparcie w ramach działania jest wykazanie wpływu projektu </w:t>
      </w:r>
      <w:r w:rsidRPr="000C42CE">
        <w:rPr>
          <w:rFonts w:ascii="Calibri" w:eastAsia="Times New Roman" w:hAnsi="Calibri" w:cs="Times New Roman"/>
          <w:iCs/>
          <w:lang w:eastAsia="pl-PL"/>
        </w:rPr>
        <w:br/>
        <w:t>na likwidację lub niwelację zdiagnozowanych w programie rewitalizacji problemów społecznych.</w:t>
      </w:r>
      <w:r w:rsidRPr="000C42CE">
        <w:rPr>
          <w:rFonts w:ascii="Calibri" w:eastAsia="Times New Roman" w:hAnsi="Calibri" w:cs="Times New Roman"/>
          <w:iCs/>
          <w:vertAlign w:val="superscript"/>
          <w:lang w:eastAsia="pl-PL"/>
        </w:rPr>
        <w:footnoteReference w:id="1"/>
      </w:r>
      <w:r w:rsidRPr="000C42CE">
        <w:rPr>
          <w:rFonts w:ascii="Calibri" w:eastAsia="Times New Roman" w:hAnsi="Calibri" w:cs="Times New Roman"/>
          <w:iCs/>
          <w:lang w:eastAsia="pl-PL"/>
        </w:rPr>
        <w:t xml:space="preserve"> W ramach instrumentu finansowego wsparte zostaną działania inwestycyjne służące rozwiązywaniu zdiagnozowanych problemów społecznych, w tym w szczególności:</w:t>
      </w:r>
    </w:p>
    <w:p w14:paraId="0ACB8144" w14:textId="47B215CC"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 xml:space="preserve">przebudowa, rozbudowa, modernizacja i adaptacja obiektów infrastrukturalnych </w:t>
      </w:r>
      <w:r w:rsidRPr="000C42CE">
        <w:rPr>
          <w:rFonts w:asciiTheme="minorHAnsi" w:hAnsiTheme="minorHAnsi" w:cstheme="minorBidi"/>
          <w:color w:val="auto"/>
          <w:sz w:val="22"/>
          <w:szCs w:val="22"/>
        </w:rPr>
        <w:br/>
        <w:t>z przeznaczeniem na cele społeczne, obejmujące: placówki oferujące wsparcie dzienne dla dzieci i młodzieży (np. żłobki, przedszkola i inne formy wychowania przedszkolnego, szkoły, świetlice, w tym środowiskowe); obiekty rekreacyjne (np. ścieżki zdrowia, place zabaw, boiska); obiekty infrastruktury kultury - maksymalna kwota kosztów kwalifikowanych projektu w zakresie kultury nie może przekroczyć 8 mln PLN;  obiekty, w których świadczone są usługi służące aktywizacji społecznej i zawodowej mieszkańców; obiekty wielofunkcyjne, w których łączone są różne funkcje społeczne;</w:t>
      </w:r>
    </w:p>
    <w:p w14:paraId="3F1077BC" w14:textId="0E092A9E"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budowa obiektów infrastrukturalnych z przeznaczeniem na cele społeczne – w zakresie wskazanym w pkt. a);</w:t>
      </w:r>
    </w:p>
    <w:p w14:paraId="10B4B768" w14:textId="39C74298"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 xml:space="preserve">działania prowadzące do ożywienia gospodarczego rewitalizowanych obszarów </w:t>
      </w:r>
      <w:r w:rsidRPr="000C42CE">
        <w:rPr>
          <w:rFonts w:asciiTheme="minorHAnsi" w:hAnsiTheme="minorHAnsi" w:cstheme="minorBidi"/>
          <w:color w:val="auto"/>
          <w:sz w:val="22"/>
          <w:szCs w:val="22"/>
        </w:rPr>
        <w:br/>
        <w:t>(np. zagospodarowanie przestrzeni na cele gospodarcze);</w:t>
      </w:r>
    </w:p>
    <w:p w14:paraId="2C528914" w14:textId="7CACAE83"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zagospodarowanie (przebudowa, rozbudowa, modernizacja i adaptacja) przestrzeni publicznej na cele społeczne (np. place, skwery, parki, drogi rowerowe</w:t>
      </w:r>
      <w:r w:rsidRPr="000C42CE">
        <w:rPr>
          <w:rStyle w:val="Odwoanieprzypisudolnego"/>
          <w:rFonts w:cs="Arial"/>
          <w:sz w:val="22"/>
          <w:szCs w:val="22"/>
        </w:rPr>
        <w:footnoteReference w:id="2"/>
      </w:r>
      <w:r w:rsidRPr="000C42CE">
        <w:rPr>
          <w:rFonts w:asciiTheme="minorHAnsi" w:hAnsiTheme="minorHAnsi" w:cstheme="minorBidi"/>
          <w:color w:val="auto"/>
          <w:sz w:val="22"/>
          <w:szCs w:val="22"/>
        </w:rPr>
        <w:t>);</w:t>
      </w:r>
    </w:p>
    <w:p w14:paraId="07AFD89F" w14:textId="3A4A32A7"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modernizacje, renowacje budynków użyteczności publicznej</w:t>
      </w:r>
      <w:r w:rsidRPr="000C42CE">
        <w:rPr>
          <w:rStyle w:val="Odwoanieprzypisudolnego"/>
          <w:rFonts w:cs="Arial"/>
          <w:sz w:val="22"/>
          <w:szCs w:val="22"/>
        </w:rPr>
        <w:footnoteReference w:id="3"/>
      </w:r>
      <w:r w:rsidRPr="000C42CE">
        <w:rPr>
          <w:rFonts w:asciiTheme="minorHAnsi" w:hAnsiTheme="minorHAnsi" w:cstheme="minorBidi"/>
          <w:color w:val="auto"/>
          <w:sz w:val="22"/>
          <w:szCs w:val="22"/>
        </w:rPr>
        <w:t xml:space="preserve"> poprawiające ich estetykę zewnętrzną. Przedsięwzięcia w ramach powyższego typu projektu, o ile przewidują modernizację energetyczną budynków, muszą mieć uzasadnienie w audycie energetycznym;</w:t>
      </w:r>
    </w:p>
    <w:p w14:paraId="653E7E1E" w14:textId="188B7FBA" w:rsidR="00CE1D2A" w:rsidRPr="000C42CE" w:rsidRDefault="00CE1D2A" w:rsidP="00CE1D2A">
      <w:pPr>
        <w:pStyle w:val="Default"/>
        <w:numPr>
          <w:ilvl w:val="0"/>
          <w:numId w:val="35"/>
        </w:numPr>
        <w:spacing w:before="120" w:after="120" w:line="276" w:lineRule="auto"/>
        <w:ind w:left="1134" w:hanging="386"/>
        <w:jc w:val="both"/>
        <w:rPr>
          <w:rFonts w:asciiTheme="minorHAnsi" w:hAnsiTheme="minorHAnsi" w:cstheme="minorBidi"/>
          <w:color w:val="auto"/>
          <w:sz w:val="22"/>
          <w:szCs w:val="22"/>
        </w:rPr>
      </w:pPr>
      <w:r w:rsidRPr="000C42CE">
        <w:rPr>
          <w:rFonts w:asciiTheme="minorHAnsi" w:hAnsiTheme="minorHAnsi" w:cstheme="minorBidi"/>
          <w:color w:val="auto"/>
          <w:sz w:val="22"/>
          <w:szCs w:val="22"/>
        </w:rPr>
        <w:t>modernizacje, renowacje części wspólnych wielorodzinnych budynków mieszkalnych</w:t>
      </w:r>
      <w:r w:rsidRPr="000C42CE">
        <w:rPr>
          <w:rStyle w:val="Odwoanieprzypisudolnego"/>
          <w:rFonts w:cs="Arial"/>
          <w:sz w:val="22"/>
          <w:szCs w:val="22"/>
        </w:rPr>
        <w:footnoteReference w:id="4"/>
      </w:r>
      <w:r w:rsidRPr="000C42CE">
        <w:rPr>
          <w:rFonts w:asciiTheme="minorHAnsi" w:hAnsiTheme="minorHAnsi" w:cstheme="minorBidi"/>
          <w:color w:val="auto"/>
          <w:sz w:val="22"/>
          <w:szCs w:val="22"/>
        </w:rPr>
        <w:t xml:space="preserve">, </w:t>
      </w:r>
      <w:r w:rsidRPr="000C42CE">
        <w:rPr>
          <w:rFonts w:asciiTheme="minorHAnsi" w:hAnsiTheme="minorHAnsi" w:cstheme="minorBidi"/>
          <w:color w:val="auto"/>
          <w:sz w:val="22"/>
          <w:szCs w:val="22"/>
        </w:rPr>
        <w:br/>
        <w:t>tj. odnowienie elementów strukturalnych budynku (dachy, fasady, okna i drzwi w fasadzie, klatki schodowe i korytarze, windy), w tym modernizacja energetyczna budynków w zakresie wynikającym z audytu energetycznego.</w:t>
      </w:r>
    </w:p>
    <w:p w14:paraId="687D54A3" w14:textId="1B2FA731" w:rsidR="00CE1D2A"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lastRenderedPageBreak/>
        <w:t xml:space="preserve">W ramach wskazanych w pkt 1 powyżej typów projektów (wyłącznie jako element projektu) możliwa będzie budowa, przebudowa, rozbudowa i modernizacja podstawowej infrastruktury komunalnej (np. sieci i urządzeń wodociągowych, kanalizacyjnych, gazowych, ciepłowniczych, elektrycznych, telekomunikacyjnych) na obszarze objętym projektem, w celu zapewnienia dostępu rewitalizowanym obiektom i terenom do podstawowych usług komunalnych, jak również budowa, przebudowa, rozbudowa i modernizacja infrastruktury drogowej poprawiającej dostępność do rewitalizowanych obiektów i terenów (z zastrzeżeniem zasad i warunków kwalifikowalności kosztów określonych w pkt. 5 Poddziałania 11.3 </w:t>
      </w:r>
      <w:proofErr w:type="spellStart"/>
      <w:r w:rsidRPr="000C42CE">
        <w:rPr>
          <w:rFonts w:asciiTheme="minorHAnsi" w:hAnsiTheme="minorHAnsi"/>
          <w:color w:val="auto"/>
          <w:sz w:val="22"/>
          <w:szCs w:val="22"/>
        </w:rPr>
        <w:t>SzOOP</w:t>
      </w:r>
      <w:proofErr w:type="spellEnd"/>
      <w:r w:rsidRPr="000C42CE">
        <w:rPr>
          <w:rFonts w:asciiTheme="minorHAnsi" w:hAnsiTheme="minorHAnsi"/>
          <w:color w:val="auto"/>
          <w:sz w:val="22"/>
          <w:szCs w:val="22"/>
        </w:rPr>
        <w:t xml:space="preserve"> RPO WM na lata 2014-2020).</w:t>
      </w:r>
    </w:p>
    <w:p w14:paraId="2B24EB80" w14:textId="5317C2E0" w:rsidR="00CE1D2A"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Poszczególne typy projektów wskazane w pkt 1 powyżej mogą być łączone w tzw. projekty kompleksowe.</w:t>
      </w:r>
    </w:p>
    <w:p w14:paraId="17D094C6" w14:textId="77777777" w:rsidR="00515136"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Przy realizacji projektów, o których mowa w pkt. 1 powyżej konieczne jest zapewnienie zgodności z zasadami projektowania uniwersalnego, o których mowa w Wytycznych Ministra Infrastruktury i Rozwoju w zakresie realizacji zasady równości szans i niedyskryminacji w tym dostępności dla osób z niepełnosprawnościami oraz zasady równości szans kobiet i mężczyzn w ramach funduszy unijnych na lata 2014-2020.</w:t>
      </w:r>
      <w:r w:rsidRPr="000C42CE">
        <w:rPr>
          <w:rStyle w:val="Odwoanieprzypisudolnego"/>
          <w:rFonts w:asciiTheme="minorHAnsi" w:hAnsiTheme="minorHAnsi"/>
          <w:color w:val="auto"/>
          <w:sz w:val="22"/>
          <w:szCs w:val="22"/>
        </w:rPr>
        <w:footnoteReference w:id="5"/>
      </w:r>
    </w:p>
    <w:p w14:paraId="3AAFBBE4" w14:textId="59F56452" w:rsidR="00CE1D2A" w:rsidRPr="000C42CE" w:rsidRDefault="00CE1D2A"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Przy realizacji projektów, o których mowa w pkt. 1.</w:t>
      </w:r>
      <w:r w:rsidR="00515136" w:rsidRPr="000C42CE">
        <w:rPr>
          <w:rFonts w:asciiTheme="minorHAnsi" w:hAnsiTheme="minorHAnsi"/>
          <w:color w:val="auto"/>
          <w:sz w:val="22"/>
          <w:szCs w:val="22"/>
        </w:rPr>
        <w:t xml:space="preserve">5 oraz 1.6 powyżej </w:t>
      </w:r>
      <w:r w:rsidRPr="000C42CE">
        <w:rPr>
          <w:rFonts w:asciiTheme="minorHAnsi" w:hAnsiTheme="minorHAnsi"/>
          <w:color w:val="auto"/>
          <w:sz w:val="22"/>
          <w:szCs w:val="22"/>
        </w:rPr>
        <w:t>konieczne jest dostarczenie przez Ostatecznego Odbiorcę audytu energetycznego</w:t>
      </w:r>
      <w:r w:rsidRPr="000C42CE">
        <w:rPr>
          <w:rStyle w:val="Odwoanieprzypisudolnego"/>
          <w:rFonts w:asciiTheme="minorHAnsi" w:hAnsiTheme="minorHAnsi"/>
          <w:color w:val="auto"/>
          <w:sz w:val="22"/>
          <w:szCs w:val="22"/>
        </w:rPr>
        <w:footnoteReference w:id="6"/>
      </w:r>
      <w:r w:rsidRPr="000C42CE">
        <w:rPr>
          <w:rFonts w:asciiTheme="minorHAnsi" w:hAnsiTheme="minorHAnsi"/>
          <w:color w:val="auto"/>
          <w:sz w:val="22"/>
          <w:szCs w:val="22"/>
        </w:rPr>
        <w:t xml:space="preserve"> ex-</w:t>
      </w:r>
      <w:proofErr w:type="spellStart"/>
      <w:r w:rsidRPr="000C42CE">
        <w:rPr>
          <w:rFonts w:asciiTheme="minorHAnsi" w:hAnsiTheme="minorHAnsi"/>
          <w:color w:val="auto"/>
          <w:sz w:val="22"/>
          <w:szCs w:val="22"/>
        </w:rPr>
        <w:t>ante</w:t>
      </w:r>
      <w:proofErr w:type="spellEnd"/>
      <w:r w:rsidRPr="000C42CE">
        <w:rPr>
          <w:rFonts w:asciiTheme="minorHAnsi" w:hAnsiTheme="minorHAnsi"/>
          <w:color w:val="auto"/>
          <w:sz w:val="22"/>
          <w:szCs w:val="22"/>
        </w:rPr>
        <w:t>, mającego na celu zdobycie</w:t>
      </w:r>
      <w:r w:rsidR="00515136" w:rsidRPr="000C42CE">
        <w:rPr>
          <w:rFonts w:asciiTheme="minorHAnsi" w:hAnsiTheme="minorHAnsi"/>
          <w:color w:val="auto"/>
          <w:sz w:val="22"/>
          <w:szCs w:val="22"/>
        </w:rPr>
        <w:t xml:space="preserve"> odpowiedniej wiedzy o profilu istniejącego zużycia energii danego budynku lub zespołu budynków oraz określenie i skwantyfikowanie możliwości opłacalnych ekonomicznie oszczędności energetycznych i możliwych do wprowadzenia rozwiązań technologicznych i organizacyjnych. Zakres rzeczowy oraz poziom poprawy efektywności energetycznej każdej inwestycji (budynku/budynków) powinny być zgodne i wynikać z wyliczeń przedstawionych w audytach energetycznych ex-</w:t>
      </w:r>
      <w:proofErr w:type="spellStart"/>
      <w:r w:rsidR="00515136" w:rsidRPr="000C42CE">
        <w:rPr>
          <w:rFonts w:asciiTheme="minorHAnsi" w:hAnsiTheme="minorHAnsi"/>
          <w:color w:val="auto"/>
          <w:sz w:val="22"/>
          <w:szCs w:val="22"/>
        </w:rPr>
        <w:t>ante</w:t>
      </w:r>
      <w:proofErr w:type="spellEnd"/>
      <w:r w:rsidR="00515136" w:rsidRPr="000C42CE">
        <w:rPr>
          <w:rFonts w:asciiTheme="minorHAnsi" w:hAnsiTheme="minorHAnsi"/>
          <w:color w:val="auto"/>
          <w:sz w:val="22"/>
          <w:szCs w:val="22"/>
        </w:rPr>
        <w:t>.</w:t>
      </w:r>
    </w:p>
    <w:p w14:paraId="484FFE18" w14:textId="749AFD87" w:rsidR="00515136" w:rsidRPr="000C42CE" w:rsidRDefault="00515136" w:rsidP="00ED0861">
      <w:pPr>
        <w:pStyle w:val="Default"/>
        <w:numPr>
          <w:ilvl w:val="0"/>
          <w:numId w:val="37"/>
        </w:numPr>
        <w:spacing w:before="120" w:after="120" w:line="276" w:lineRule="auto"/>
        <w:jc w:val="both"/>
        <w:rPr>
          <w:rFonts w:asciiTheme="minorHAnsi" w:hAnsiTheme="minorHAnsi"/>
          <w:color w:val="auto"/>
          <w:sz w:val="22"/>
          <w:szCs w:val="22"/>
        </w:rPr>
      </w:pPr>
      <w:r w:rsidRPr="000C42CE">
        <w:rPr>
          <w:rFonts w:asciiTheme="minorHAnsi" w:hAnsiTheme="minorHAnsi"/>
          <w:sz w:val="22"/>
          <w:szCs w:val="22"/>
        </w:rPr>
        <w:t>Przy realizacji projektów, o których mowa w pkt. 1.5 oraz 1.6 powyżej, po zakończeniu ich realizacji, do potwierdzenia kwalifikowalności Jednostkowej Pożyczki konieczne jest potwierdzenie przez Ostatecznego Odbiorcę, poprzez złożenie audytu energetycznego</w:t>
      </w:r>
      <w:r w:rsidRPr="000C42CE">
        <w:rPr>
          <w:rStyle w:val="Odwoanieprzypisudolnego"/>
          <w:rFonts w:asciiTheme="minorHAnsi" w:hAnsiTheme="minorHAnsi"/>
          <w:sz w:val="22"/>
          <w:szCs w:val="22"/>
        </w:rPr>
        <w:footnoteReference w:id="7"/>
      </w:r>
      <w:r w:rsidRPr="000C42CE">
        <w:rPr>
          <w:rFonts w:asciiTheme="minorHAnsi" w:hAnsiTheme="minorHAnsi"/>
          <w:sz w:val="22"/>
          <w:szCs w:val="22"/>
        </w:rPr>
        <w:t xml:space="preserve"> </w:t>
      </w:r>
      <w:r w:rsidRPr="000C42CE">
        <w:rPr>
          <w:rFonts w:asciiTheme="minorHAnsi" w:hAnsiTheme="minorHAnsi"/>
          <w:sz w:val="22"/>
          <w:szCs w:val="22"/>
        </w:rPr>
        <w:br/>
        <w:t>ex-post, że zrealizowany został cel w zakresie rzeczowym, który determinował osiągnięcie poprawy efektywności energetycznej w wysokości określonej w audycie energetycznym ex-</w:t>
      </w:r>
      <w:proofErr w:type="spellStart"/>
      <w:r w:rsidRPr="000C42CE">
        <w:rPr>
          <w:rFonts w:asciiTheme="minorHAnsi" w:hAnsiTheme="minorHAnsi"/>
          <w:sz w:val="22"/>
          <w:szCs w:val="22"/>
        </w:rPr>
        <w:t>ante</w:t>
      </w:r>
      <w:proofErr w:type="spellEnd"/>
      <w:r w:rsidRPr="000C42CE">
        <w:rPr>
          <w:rFonts w:asciiTheme="minorHAnsi" w:hAnsiTheme="minorHAnsi"/>
          <w:sz w:val="22"/>
          <w:szCs w:val="22"/>
        </w:rPr>
        <w:t>.</w:t>
      </w:r>
    </w:p>
    <w:p w14:paraId="215B46AF" w14:textId="6FF3DDD7" w:rsidR="00515136" w:rsidRPr="000C42CE" w:rsidRDefault="00515136" w:rsidP="00515136">
      <w:pPr>
        <w:pStyle w:val="Akapitzlist"/>
        <w:numPr>
          <w:ilvl w:val="0"/>
          <w:numId w:val="37"/>
        </w:numPr>
        <w:rPr>
          <w:rFonts w:cs="Times New Roman"/>
        </w:rPr>
      </w:pPr>
      <w:r w:rsidRPr="000C42CE">
        <w:rPr>
          <w:rFonts w:cs="Times New Roman"/>
        </w:rPr>
        <w:lastRenderedPageBreak/>
        <w:t>Z Jednostkowej Pożyczki finansowane są wydatki w kwotach brutto tj. z podatkiem VAT, bez względu na to czy Ostateczny Odbiorca ma prawną możliwość odzyskania naliczonego podatku VAT.</w:t>
      </w:r>
      <w:r w:rsidRPr="000C42CE">
        <w:rPr>
          <w:rFonts w:cs="Times New Roman"/>
        </w:rPr>
        <w:br/>
      </w:r>
    </w:p>
    <w:p w14:paraId="21C965B1" w14:textId="32FBF731" w:rsidR="00614CDD" w:rsidRPr="000C42CE" w:rsidRDefault="00515136" w:rsidP="00651784">
      <w:pPr>
        <w:pStyle w:val="Akapitzlist"/>
        <w:numPr>
          <w:ilvl w:val="0"/>
          <w:numId w:val="13"/>
        </w:numPr>
        <w:spacing w:before="120" w:after="120"/>
        <w:ind w:left="426" w:hanging="426"/>
        <w:contextualSpacing w:val="0"/>
        <w:jc w:val="both"/>
        <w:rPr>
          <w:b/>
        </w:rPr>
      </w:pPr>
      <w:r w:rsidRPr="000C42CE">
        <w:rPr>
          <w:rFonts w:ascii="Calibri" w:eastAsia="Times New Roman" w:hAnsi="Calibri" w:cs="Times New Roman"/>
          <w:b/>
          <w:iCs/>
          <w:lang w:eastAsia="pl-PL"/>
        </w:rPr>
        <w:t>Ograniczenia w finansowaniu</w:t>
      </w:r>
    </w:p>
    <w:p w14:paraId="73A813C0" w14:textId="77777777" w:rsidR="00515136" w:rsidRPr="000C42CE" w:rsidRDefault="00515136" w:rsidP="00515136">
      <w:pPr>
        <w:pStyle w:val="Default"/>
        <w:numPr>
          <w:ilvl w:val="0"/>
          <w:numId w:val="38"/>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Jednostkowa Pożyczka na rewitalizację nie może być przeznaczona na:</w:t>
      </w:r>
    </w:p>
    <w:p w14:paraId="120A9D5F" w14:textId="77777777" w:rsidR="00515136" w:rsidRPr="000C42CE" w:rsidRDefault="00515136" w:rsidP="00515136">
      <w:pPr>
        <w:pStyle w:val="Default"/>
        <w:numPr>
          <w:ilvl w:val="0"/>
          <w:numId w:val="39"/>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inwestycje w infrastrukturę ochrony zdrowia,</w:t>
      </w:r>
    </w:p>
    <w:p w14:paraId="3C43F94A" w14:textId="5B4C9321" w:rsidR="00515136" w:rsidRPr="000C42CE" w:rsidRDefault="00515136" w:rsidP="00515136">
      <w:pPr>
        <w:pStyle w:val="Default"/>
        <w:numPr>
          <w:ilvl w:val="0"/>
          <w:numId w:val="39"/>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refinansowanie inwestycji, które w dniu podjęcia decyzji inwestycyjnej zostały fizycznie ukończone lub w pełni wdrożone, z zastrzeżeniem, iż </w:t>
      </w:r>
      <w:r w:rsidRPr="000C42CE">
        <w:rPr>
          <w:rFonts w:ascii="Calibri" w:eastAsia="Times New Roman" w:hAnsi="Calibri" w:cs="Arial"/>
          <w:color w:val="auto"/>
          <w:sz w:val="22"/>
          <w:szCs w:val="22"/>
          <w:lang w:eastAsia="pl-PL"/>
        </w:rPr>
        <w:t xml:space="preserve">istnieje możliwość zmiany struktury finansowania danej inwestycji w odniesieniu do infrastruktury stanowiącej część nowej inwestycji, w maksymalnej wysokości 20% całkowitej kwoty Jednostkowej Pożyczki, zgodnie z Wytycznymi Ministra Rozwoju w zakresie rewitalizacji w programach operacyjnych na lata 2014-2020 z dn. 2 sierpnia 2016 r. </w:t>
      </w:r>
    </w:p>
    <w:p w14:paraId="16BF5311" w14:textId="3DCB5390" w:rsidR="00515136" w:rsidRPr="000C42CE" w:rsidRDefault="00515136" w:rsidP="00515136">
      <w:pPr>
        <w:pStyle w:val="Default"/>
        <w:numPr>
          <w:ilvl w:val="0"/>
          <w:numId w:val="39"/>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finansowanie wydatków niezwiązanych bezpośrednio z Celem Inwestycji określonym </w:t>
      </w:r>
      <w:r w:rsidRPr="000C42CE">
        <w:rPr>
          <w:rFonts w:asciiTheme="minorHAnsi" w:hAnsiTheme="minorHAnsi"/>
          <w:color w:val="auto"/>
          <w:sz w:val="22"/>
          <w:szCs w:val="22"/>
        </w:rPr>
        <w:br/>
        <w:t xml:space="preserve">w pkt. </w:t>
      </w:r>
      <w:r w:rsidR="00A70F8D" w:rsidRPr="000C42CE">
        <w:rPr>
          <w:rFonts w:asciiTheme="minorHAnsi" w:hAnsiTheme="minorHAnsi"/>
          <w:color w:val="auto"/>
          <w:sz w:val="22"/>
          <w:szCs w:val="22"/>
        </w:rPr>
        <w:t>III</w:t>
      </w:r>
      <w:r w:rsidRPr="000C42CE">
        <w:rPr>
          <w:rFonts w:asciiTheme="minorHAnsi" w:hAnsiTheme="minorHAnsi"/>
          <w:color w:val="auto"/>
          <w:sz w:val="22"/>
          <w:szCs w:val="22"/>
        </w:rPr>
        <w:t xml:space="preserve"> powyżej,</w:t>
      </w:r>
    </w:p>
    <w:p w14:paraId="44E27C15" w14:textId="7B9F74ED"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finansowanie wydatków pokrytych uprzednio ze środków EFSI, z innych funduszy, programów, środków i instrumentów Unii Europejskiej lub innych źródeł pomocy krajowej lub zagranicznej,</w:t>
      </w:r>
      <w:r w:rsidRPr="000C42CE">
        <w:t xml:space="preserve"> z zastrzeżeniem pkt. </w:t>
      </w:r>
      <w:r w:rsidR="00A70F8D" w:rsidRPr="000C42CE">
        <w:t>1. b) powyżej,</w:t>
      </w:r>
    </w:p>
    <w:p w14:paraId="3FBF015A" w14:textId="294D7286"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t>refinansowanie jaki</w:t>
      </w:r>
      <w:r w:rsidR="00A70F8D" w:rsidRPr="000C42CE">
        <w:t>chkolwiek pożyczek lub kredytów pkt 1. B) powyżej,</w:t>
      </w:r>
    </w:p>
    <w:p w14:paraId="1DA3BDBA" w14:textId="77777777"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spłaty zobowiązań publiczno-prawnych Ostatecznego Odbiorcy,</w:t>
      </w:r>
    </w:p>
    <w:p w14:paraId="2DB24EDB" w14:textId="77777777"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finansowanie zakupu udziałów lub akcji innego przedsiębiorstwa,</w:t>
      </w:r>
    </w:p>
    <w:p w14:paraId="2C87E992" w14:textId="77777777" w:rsidR="00515136" w:rsidRPr="000C42CE" w:rsidRDefault="00515136" w:rsidP="00515136">
      <w:pPr>
        <w:pStyle w:val="Akapitzlist"/>
        <w:numPr>
          <w:ilvl w:val="0"/>
          <w:numId w:val="39"/>
        </w:numPr>
        <w:spacing w:before="120" w:after="120"/>
        <w:ind w:left="1134" w:hanging="357"/>
        <w:contextualSpacing w:val="0"/>
        <w:jc w:val="both"/>
        <w:rPr>
          <w:rFonts w:cs="Calibri"/>
        </w:rPr>
      </w:pPr>
      <w:r w:rsidRPr="000C42CE">
        <w:rPr>
          <w:rFonts w:cs="Calibri"/>
        </w:rPr>
        <w:t>na wspieranie inwestycji opisanych w dyspozycji art. 3 ust. 3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51860D9" w14:textId="77777777" w:rsidR="00515136" w:rsidRPr="000C42CE" w:rsidRDefault="00515136" w:rsidP="00515136">
      <w:pPr>
        <w:pStyle w:val="Akapitzlist"/>
        <w:numPr>
          <w:ilvl w:val="0"/>
          <w:numId w:val="38"/>
        </w:numPr>
        <w:spacing w:before="120" w:after="240"/>
        <w:ind w:left="714" w:hanging="357"/>
        <w:contextualSpacing w:val="0"/>
        <w:jc w:val="both"/>
        <w:rPr>
          <w:b/>
        </w:rPr>
      </w:pPr>
      <w:r w:rsidRPr="000C42CE">
        <w:rPr>
          <w:rFonts w:cs="Calibri"/>
        </w:rPr>
        <w:t>Finansowanie zakupu gruntów niezabudowanych i zabudowanych w ramach finansowanej inwestycji możliwe jest do wysokości 20% Jednostkowej Pożyczki udzielonej na rzecz Ostatecznego Odbiorcy.</w:t>
      </w:r>
    </w:p>
    <w:p w14:paraId="436E9FD5" w14:textId="03D00A4A" w:rsidR="00A70F8D" w:rsidRPr="000C42CE" w:rsidRDefault="00A62896" w:rsidP="00651784">
      <w:pPr>
        <w:pStyle w:val="Akapitzlist"/>
        <w:numPr>
          <w:ilvl w:val="0"/>
          <w:numId w:val="13"/>
        </w:numPr>
        <w:spacing w:before="120" w:after="120"/>
        <w:ind w:left="426" w:hanging="426"/>
        <w:contextualSpacing w:val="0"/>
        <w:jc w:val="both"/>
        <w:rPr>
          <w:b/>
        </w:rPr>
      </w:pPr>
      <w:r w:rsidRPr="000C42CE">
        <w:rPr>
          <w:b/>
        </w:rPr>
        <w:t xml:space="preserve">Ostateczni Odbiorcy </w:t>
      </w:r>
    </w:p>
    <w:p w14:paraId="50FE5F62" w14:textId="77777777" w:rsidR="00A62896" w:rsidRPr="000C42CE" w:rsidRDefault="00A62896" w:rsidP="00A62896">
      <w:pPr>
        <w:pStyle w:val="Akapitzlist"/>
        <w:numPr>
          <w:ilvl w:val="0"/>
          <w:numId w:val="14"/>
        </w:numPr>
        <w:spacing w:before="120" w:after="120"/>
        <w:contextualSpacing w:val="0"/>
        <w:jc w:val="both"/>
      </w:pPr>
      <w:r w:rsidRPr="000C42CE">
        <w:t>Podmioty ubiegające się o Jednostkową Pożyczkę muszą spełniać łącznie następujące kryteria:</w:t>
      </w:r>
    </w:p>
    <w:p w14:paraId="499E2431" w14:textId="77777777" w:rsidR="00A62896" w:rsidRPr="000C42CE" w:rsidRDefault="00A62896" w:rsidP="00A62896">
      <w:pPr>
        <w:pStyle w:val="Akapitzlist"/>
        <w:numPr>
          <w:ilvl w:val="0"/>
          <w:numId w:val="5"/>
        </w:numPr>
        <w:spacing w:before="120" w:after="120"/>
        <w:ind w:left="993" w:hanging="284"/>
        <w:contextualSpacing w:val="0"/>
        <w:jc w:val="both"/>
      </w:pPr>
      <w:r w:rsidRPr="000C42CE">
        <w:t>nie znajdują się w trudnej sytuacji w rozumieniu pkt. 20 Wytycznych dotyczących pomocy państwa na ratowanie i restrukturyzację przedsiębiorstw niefinansowych znajdujących się w trudnej sytuacji (Dz. Urz. UE C  249/1 z 31.07.2014 r.),</w:t>
      </w:r>
    </w:p>
    <w:p w14:paraId="52DF53BA" w14:textId="77777777" w:rsidR="00A62896" w:rsidRPr="000C42CE" w:rsidRDefault="00A62896" w:rsidP="00A62896">
      <w:pPr>
        <w:pStyle w:val="Akapitzlist"/>
        <w:numPr>
          <w:ilvl w:val="0"/>
          <w:numId w:val="5"/>
        </w:numPr>
        <w:spacing w:before="120" w:after="120"/>
        <w:ind w:left="993" w:hanging="284"/>
        <w:contextualSpacing w:val="0"/>
        <w:jc w:val="both"/>
      </w:pPr>
      <w:r w:rsidRPr="000C42CE">
        <w:t>nie ciąży na nich obowiązek zwrotu pomocy, wynikający z decyzji Komisji Europejskiej uznającej pomoc za niezgodną z prawem oraz ze wspólnym rynkiem lub orzeczenia sądu krajowego lub unijnego,</w:t>
      </w:r>
    </w:p>
    <w:p w14:paraId="5C9BDDEF" w14:textId="77777777" w:rsidR="00A62896" w:rsidRPr="000C42CE" w:rsidRDefault="00A62896" w:rsidP="00A62896">
      <w:pPr>
        <w:pStyle w:val="Akapitzlist"/>
        <w:numPr>
          <w:ilvl w:val="0"/>
          <w:numId w:val="5"/>
        </w:numPr>
        <w:spacing w:before="120" w:after="120"/>
        <w:ind w:left="993" w:hanging="284"/>
        <w:contextualSpacing w:val="0"/>
        <w:jc w:val="both"/>
      </w:pPr>
      <w:r w:rsidRPr="000C42CE">
        <w:t xml:space="preserve">nie są wykluczeni, stosownie do Rozporządzenia Komisji (UE) nr 1407/2013 z dnia </w:t>
      </w:r>
      <w:r w:rsidRPr="000C42CE">
        <w:br/>
        <w:t xml:space="preserve">18 grudnia 2013 r. w sprawie stosowania art. 107 i 108 Traktatu o funkcjonowaniu Unii </w:t>
      </w:r>
      <w:r w:rsidRPr="000C42CE">
        <w:lastRenderedPageBreak/>
        <w:t xml:space="preserve">Europejskiej do pomocy de </w:t>
      </w:r>
      <w:proofErr w:type="spellStart"/>
      <w:r w:rsidRPr="000C42CE">
        <w:t>minimis</w:t>
      </w:r>
      <w:proofErr w:type="spellEnd"/>
      <w:r w:rsidRPr="000C42CE">
        <w:t xml:space="preserve"> (jeżeli Ostateczny Odbiorca ubiega się o pomoc </w:t>
      </w:r>
      <w:r w:rsidRPr="000C42CE">
        <w:br/>
        <w:t xml:space="preserve">de </w:t>
      </w:r>
      <w:proofErr w:type="spellStart"/>
      <w:r w:rsidRPr="000C42CE">
        <w:t>minimis</w:t>
      </w:r>
      <w:proofErr w:type="spellEnd"/>
      <w:r w:rsidRPr="000C42CE">
        <w:t>),</w:t>
      </w:r>
    </w:p>
    <w:p w14:paraId="629E1215" w14:textId="77777777" w:rsidR="00A62896" w:rsidRPr="000C42CE" w:rsidRDefault="00A62896" w:rsidP="00A62896">
      <w:pPr>
        <w:pStyle w:val="Akapitzlist"/>
        <w:numPr>
          <w:ilvl w:val="0"/>
          <w:numId w:val="5"/>
        </w:numPr>
        <w:spacing w:before="120" w:after="120"/>
        <w:ind w:left="993" w:hanging="284"/>
        <w:contextualSpacing w:val="0"/>
        <w:jc w:val="both"/>
      </w:pPr>
      <w:r w:rsidRPr="000C42CE">
        <w:t>nie podlegają wykluczeniu z możliwości dostępu do środków publicznych na podstawie przepisów prawa lub wykluczeniu takiemu nie podlegają osoby uprawnione do ich reprezentacji.</w:t>
      </w:r>
    </w:p>
    <w:p w14:paraId="65289DEC" w14:textId="77777777" w:rsidR="00A62896" w:rsidRPr="000C42CE" w:rsidRDefault="00A62896" w:rsidP="00A62896">
      <w:pPr>
        <w:pStyle w:val="Akapitzlist"/>
        <w:numPr>
          <w:ilvl w:val="0"/>
          <w:numId w:val="14"/>
        </w:numPr>
        <w:spacing w:before="120" w:after="120"/>
        <w:contextualSpacing w:val="0"/>
        <w:jc w:val="both"/>
      </w:pPr>
      <w:r w:rsidRPr="000C42CE">
        <w:t>Podmioty ubiegające się o Jednostkową Pożyczkę należą do jednej z poniższych grup:</w:t>
      </w:r>
    </w:p>
    <w:p w14:paraId="623F4EF5"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jednostki samorządu terytorialnego, ich związki i stowarzyszenia,</w:t>
      </w:r>
    </w:p>
    <w:p w14:paraId="31C5003F"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jednostki organizacyjne jednostek samorządu terytorialnego, posiadające osobowość prawną,</w:t>
      </w:r>
    </w:p>
    <w:p w14:paraId="6DA7324C"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instytucje kultury,</w:t>
      </w:r>
    </w:p>
    <w:p w14:paraId="42417D67"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osoby prawne i fizyczne będące organami prowadzącymi szkoły i placówki,</w:t>
      </w:r>
    </w:p>
    <w:p w14:paraId="6574B28E"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partnerzy społeczni i gospodarczy (w tym organizacje pozarządowe),</w:t>
      </w:r>
    </w:p>
    <w:p w14:paraId="48F2DF22"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kościoły i związki wyznaniowe oraz osoby prawne kościołów i związków wyznaniowych,</w:t>
      </w:r>
    </w:p>
    <w:p w14:paraId="2866E442"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spółdzielnie</w:t>
      </w:r>
      <w:r w:rsidRPr="000C42CE">
        <w:rPr>
          <w:rStyle w:val="Odwoanieprzypisudolnego"/>
          <w:rFonts w:asciiTheme="minorHAnsi" w:hAnsiTheme="minorHAnsi"/>
          <w:color w:val="auto"/>
          <w:sz w:val="22"/>
          <w:szCs w:val="22"/>
        </w:rPr>
        <w:footnoteReference w:id="8"/>
      </w:r>
      <w:r w:rsidRPr="000C42CE">
        <w:rPr>
          <w:rFonts w:asciiTheme="minorHAnsi" w:hAnsiTheme="minorHAnsi"/>
          <w:color w:val="auto"/>
          <w:sz w:val="22"/>
          <w:szCs w:val="22"/>
        </w:rPr>
        <w:t xml:space="preserve"> i wspólnoty mieszkaniowe</w:t>
      </w:r>
      <w:r w:rsidRPr="000C42CE">
        <w:rPr>
          <w:rStyle w:val="Odwoanieprzypisudolnego"/>
          <w:rFonts w:asciiTheme="minorHAnsi" w:hAnsiTheme="minorHAnsi"/>
          <w:color w:val="auto"/>
          <w:sz w:val="22"/>
          <w:szCs w:val="22"/>
        </w:rPr>
        <w:footnoteReference w:id="9"/>
      </w:r>
      <w:r w:rsidRPr="000C42CE">
        <w:rPr>
          <w:rFonts w:asciiTheme="minorHAnsi" w:hAnsiTheme="minorHAnsi"/>
          <w:color w:val="auto"/>
          <w:sz w:val="22"/>
          <w:szCs w:val="22"/>
        </w:rPr>
        <w:t>, Towarzystwa Budownictwa Społecznego</w:t>
      </w:r>
      <w:r w:rsidRPr="000C42CE">
        <w:rPr>
          <w:rStyle w:val="Odwoanieprzypisudolnego"/>
          <w:rFonts w:asciiTheme="minorHAnsi" w:hAnsiTheme="minorHAnsi"/>
          <w:color w:val="auto"/>
          <w:sz w:val="22"/>
          <w:szCs w:val="22"/>
        </w:rPr>
        <w:footnoteReference w:id="10"/>
      </w:r>
      <w:r w:rsidRPr="000C42CE">
        <w:rPr>
          <w:rFonts w:asciiTheme="minorHAnsi" w:hAnsiTheme="minorHAnsi"/>
          <w:color w:val="auto"/>
          <w:sz w:val="22"/>
          <w:szCs w:val="22"/>
        </w:rPr>
        <w:t>,</w:t>
      </w:r>
    </w:p>
    <w:p w14:paraId="0E4F87B4"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parki narodowe i krajobrazowe,</w:t>
      </w:r>
    </w:p>
    <w:p w14:paraId="1C15C20F"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PGL Lasy Państwowe i jego jednostki organizacyjne,</w:t>
      </w:r>
    </w:p>
    <w:p w14:paraId="09C27FBC"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inne jednostki sektora finansów publicznych posiadające osobowość prawną,</w:t>
      </w:r>
    </w:p>
    <w:p w14:paraId="05AB1150"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szkoły wyższe,</w:t>
      </w:r>
    </w:p>
    <w:p w14:paraId="0EC3DE84" w14:textId="77777777" w:rsidR="00A62896" w:rsidRPr="000C42CE" w:rsidRDefault="00A62896" w:rsidP="00A62896">
      <w:pPr>
        <w:pStyle w:val="Default"/>
        <w:numPr>
          <w:ilvl w:val="0"/>
          <w:numId w:val="41"/>
        </w:numPr>
        <w:spacing w:before="120" w:after="120" w:line="276" w:lineRule="auto"/>
        <w:ind w:left="993"/>
        <w:contextualSpacing/>
        <w:jc w:val="both"/>
        <w:rPr>
          <w:rFonts w:asciiTheme="minorHAnsi" w:hAnsiTheme="minorHAnsi"/>
          <w:color w:val="auto"/>
          <w:sz w:val="22"/>
          <w:szCs w:val="22"/>
        </w:rPr>
      </w:pPr>
      <w:r w:rsidRPr="000C42CE">
        <w:rPr>
          <w:rFonts w:asciiTheme="minorHAnsi" w:hAnsiTheme="minorHAnsi"/>
          <w:color w:val="auto"/>
          <w:sz w:val="22"/>
          <w:szCs w:val="22"/>
        </w:rPr>
        <w:t>przedsiębiorcy,</w:t>
      </w:r>
    </w:p>
    <w:p w14:paraId="0B3C2721" w14:textId="77777777" w:rsidR="00A62896" w:rsidRPr="000C42CE" w:rsidRDefault="00A62896" w:rsidP="00A62896">
      <w:pPr>
        <w:pStyle w:val="Default"/>
        <w:numPr>
          <w:ilvl w:val="0"/>
          <w:numId w:val="41"/>
        </w:numPr>
        <w:spacing w:before="120" w:after="240" w:line="276" w:lineRule="auto"/>
        <w:ind w:left="993" w:hanging="357"/>
        <w:jc w:val="both"/>
        <w:rPr>
          <w:rFonts w:asciiTheme="minorHAnsi" w:hAnsiTheme="minorHAnsi"/>
          <w:color w:val="auto"/>
          <w:sz w:val="22"/>
          <w:szCs w:val="22"/>
        </w:rPr>
      </w:pPr>
      <w:r w:rsidRPr="000C42CE">
        <w:rPr>
          <w:rFonts w:asciiTheme="minorHAnsi" w:hAnsiTheme="minorHAnsi"/>
          <w:color w:val="auto"/>
          <w:sz w:val="22"/>
          <w:szCs w:val="22"/>
        </w:rPr>
        <w:t>administracja rządowa.</w:t>
      </w:r>
    </w:p>
    <w:p w14:paraId="5B6D7C20" w14:textId="5B88E6DF" w:rsidR="0090184F" w:rsidRPr="000C42CE" w:rsidRDefault="00D5516D" w:rsidP="0090184F">
      <w:pPr>
        <w:pStyle w:val="Default"/>
        <w:spacing w:before="120" w:after="120" w:line="276" w:lineRule="auto"/>
        <w:jc w:val="both"/>
        <w:rPr>
          <w:rFonts w:asciiTheme="minorHAnsi" w:hAnsiTheme="minorHAnsi"/>
          <w:b/>
          <w:color w:val="auto"/>
          <w:sz w:val="22"/>
          <w:szCs w:val="22"/>
        </w:rPr>
      </w:pPr>
      <w:r w:rsidRPr="000C42CE">
        <w:rPr>
          <w:rFonts w:asciiTheme="minorHAnsi" w:hAnsiTheme="minorHAnsi"/>
          <w:b/>
          <w:color w:val="auto"/>
          <w:sz w:val="22"/>
          <w:szCs w:val="22"/>
        </w:rPr>
        <w:t>V</w:t>
      </w:r>
      <w:r w:rsidR="0090184F" w:rsidRPr="000C42CE">
        <w:rPr>
          <w:rFonts w:asciiTheme="minorHAnsi" w:hAnsiTheme="minorHAnsi"/>
          <w:b/>
          <w:color w:val="auto"/>
          <w:sz w:val="22"/>
          <w:szCs w:val="22"/>
        </w:rPr>
        <w:t>I. Zasady odpłatności za udzielenie Jednostkowych Pożyczek</w:t>
      </w:r>
    </w:p>
    <w:p w14:paraId="123FD103" w14:textId="77777777" w:rsidR="0090184F" w:rsidRPr="000C42CE" w:rsidRDefault="0090184F" w:rsidP="0090184F">
      <w:pPr>
        <w:pStyle w:val="Default"/>
        <w:numPr>
          <w:ilvl w:val="0"/>
          <w:numId w:val="42"/>
        </w:numPr>
        <w:spacing w:before="120" w:after="120" w:line="276" w:lineRule="auto"/>
        <w:jc w:val="both"/>
        <w:rPr>
          <w:rFonts w:asciiTheme="minorHAnsi" w:hAnsiTheme="minorHAnsi"/>
          <w:b/>
          <w:color w:val="auto"/>
          <w:sz w:val="22"/>
          <w:szCs w:val="22"/>
        </w:rPr>
      </w:pPr>
      <w:r w:rsidRPr="000C42CE">
        <w:rPr>
          <w:rFonts w:asciiTheme="minorHAnsi" w:hAnsiTheme="minorHAnsi"/>
          <w:color w:val="auto"/>
          <w:sz w:val="22"/>
          <w:szCs w:val="22"/>
        </w:rPr>
        <w:t xml:space="preserve">Jednostkowe Pożyczki oprocentowane są na warunkach korzystniejszych niż rynkowe </w:t>
      </w:r>
      <w:r w:rsidRPr="000C42CE">
        <w:rPr>
          <w:rFonts w:asciiTheme="minorHAnsi" w:hAnsiTheme="minorHAnsi"/>
          <w:color w:val="auto"/>
          <w:sz w:val="22"/>
          <w:szCs w:val="22"/>
        </w:rPr>
        <w:br/>
        <w:t>tj. preferencyjnych.</w:t>
      </w:r>
    </w:p>
    <w:p w14:paraId="35421D75" w14:textId="77777777" w:rsidR="0090184F" w:rsidRPr="000C42CE" w:rsidRDefault="0090184F" w:rsidP="0090184F">
      <w:pPr>
        <w:numPr>
          <w:ilvl w:val="0"/>
          <w:numId w:val="42"/>
        </w:numPr>
        <w:autoSpaceDE w:val="0"/>
        <w:autoSpaceDN w:val="0"/>
        <w:adjustRightInd w:val="0"/>
        <w:spacing w:before="120" w:after="120"/>
        <w:jc w:val="both"/>
      </w:pPr>
      <w:r w:rsidRPr="000C42CE">
        <w:rPr>
          <w:rFonts w:cs="Calibri"/>
        </w:rPr>
        <w:t xml:space="preserve">Tryb oraz warunki wypłaty pomocy oraz warunki z tym związane uzgadniane są przez Pośrednika Finansowego z Ostatecznym Obiorcą na etapie konsultacji przed złożeniem Wniosku. Weryfikacja i akceptacja tych zagadnień odbywa się przed udzieleniem Jednostkowej Pożyczki. </w:t>
      </w:r>
    </w:p>
    <w:p w14:paraId="4470E247" w14:textId="77777777" w:rsidR="0090184F" w:rsidRPr="000C42CE" w:rsidRDefault="0090184F" w:rsidP="0090184F">
      <w:pPr>
        <w:pStyle w:val="Default"/>
        <w:numPr>
          <w:ilvl w:val="0"/>
          <w:numId w:val="42"/>
        </w:numPr>
        <w:spacing w:before="120" w:after="120" w:line="276" w:lineRule="auto"/>
        <w:jc w:val="both"/>
        <w:rPr>
          <w:rFonts w:asciiTheme="minorHAnsi" w:hAnsiTheme="minorHAnsi"/>
          <w:b/>
          <w:color w:val="auto"/>
          <w:sz w:val="22"/>
          <w:szCs w:val="22"/>
        </w:rPr>
      </w:pPr>
      <w:r w:rsidRPr="000C42CE">
        <w:rPr>
          <w:rFonts w:asciiTheme="minorHAnsi" w:hAnsiTheme="minorHAnsi"/>
          <w:color w:val="auto"/>
          <w:sz w:val="22"/>
          <w:szCs w:val="22"/>
        </w:rPr>
        <w:lastRenderedPageBreak/>
        <w:t>W zależności od przedmiotu projektu, statusu/formy prawnej Ostatecznego Beneficjenta Jednostkowe Pożyczki udzielane są w formie pomocy</w:t>
      </w:r>
      <w:r w:rsidRPr="000C42CE">
        <w:rPr>
          <w:rStyle w:val="Odwoanieprzypisudolnego"/>
          <w:rFonts w:asciiTheme="minorHAnsi" w:hAnsiTheme="minorHAnsi"/>
          <w:color w:val="auto"/>
          <w:sz w:val="22"/>
          <w:szCs w:val="22"/>
        </w:rPr>
        <w:footnoteReference w:id="11"/>
      </w:r>
      <w:r w:rsidRPr="000C42CE">
        <w:rPr>
          <w:rFonts w:asciiTheme="minorHAnsi" w:hAnsiTheme="minorHAnsi"/>
          <w:color w:val="auto"/>
          <w:sz w:val="22"/>
          <w:szCs w:val="22"/>
        </w:rPr>
        <w:t xml:space="preserve">, </w:t>
      </w:r>
    </w:p>
    <w:p w14:paraId="39A5904A" w14:textId="77777777" w:rsidR="0090184F" w:rsidRPr="000C42CE" w:rsidRDefault="0090184F" w:rsidP="0090184F">
      <w:pPr>
        <w:pStyle w:val="Default"/>
        <w:numPr>
          <w:ilvl w:val="0"/>
          <w:numId w:val="43"/>
        </w:numPr>
        <w:spacing w:before="120" w:after="120" w:line="276" w:lineRule="auto"/>
        <w:jc w:val="both"/>
        <w:rPr>
          <w:rFonts w:asciiTheme="minorHAnsi" w:hAnsiTheme="minorHAnsi"/>
          <w:i/>
          <w:color w:val="auto"/>
          <w:sz w:val="22"/>
          <w:szCs w:val="22"/>
        </w:rPr>
      </w:pPr>
      <w:r w:rsidRPr="000C42CE">
        <w:rPr>
          <w:rFonts w:asciiTheme="minorHAnsi" w:hAnsiTheme="minorHAnsi"/>
          <w:color w:val="auto"/>
          <w:sz w:val="22"/>
          <w:szCs w:val="22"/>
        </w:rPr>
        <w:t xml:space="preserve">pomocy inwestycyjnej podlegającej </w:t>
      </w:r>
      <w:proofErr w:type="spellStart"/>
      <w:r w:rsidRPr="000C42CE">
        <w:rPr>
          <w:rFonts w:asciiTheme="minorHAnsi" w:hAnsiTheme="minorHAnsi"/>
          <w:color w:val="auto"/>
          <w:sz w:val="22"/>
          <w:szCs w:val="22"/>
        </w:rPr>
        <w:t>wyłączeniom</w:t>
      </w:r>
      <w:proofErr w:type="spellEnd"/>
      <w:r w:rsidRPr="000C42CE">
        <w:rPr>
          <w:rFonts w:asciiTheme="minorHAnsi" w:hAnsiTheme="minorHAnsi"/>
          <w:color w:val="auto"/>
          <w:sz w:val="22"/>
          <w:szCs w:val="22"/>
        </w:rPr>
        <w:t xml:space="preserve"> blokowym – na podstawie rozporządzenia Ministra Rozwoju i Finansów z dnia 22 listopada 2016 r. w sprawie udzielania pomocy regionalnej na rzecz rozwoju obszarów miejskich w ramach regionalnych programów operacyjnych na lata 2014 - 2020, do którego zastosowanie mają zapisy Rozporządzenia Komisji Europejskiej (UE) NR 651/2014 z dnia 17 czerwca 2014 r. uznające niektóre rodzaje pomocy za zgodne z rynkiem wewnętrznym w zastosowaniu art. 107 i 108 Traktatu oraz;</w:t>
      </w:r>
    </w:p>
    <w:p w14:paraId="1F9D4033" w14:textId="77777777" w:rsidR="0090184F" w:rsidRPr="000C42CE" w:rsidRDefault="0090184F" w:rsidP="0090184F">
      <w:pPr>
        <w:pStyle w:val="Akapitzlist"/>
        <w:numPr>
          <w:ilvl w:val="0"/>
          <w:numId w:val="43"/>
        </w:numPr>
        <w:spacing w:before="120" w:after="120"/>
        <w:contextualSpacing w:val="0"/>
        <w:jc w:val="both"/>
        <w:rPr>
          <w:rFonts w:cs="Calibri"/>
        </w:rPr>
      </w:pPr>
      <w:r w:rsidRPr="000C42CE">
        <w:rPr>
          <w:rFonts w:cs="Calibri"/>
        </w:rPr>
        <w:t xml:space="preserve">pożyczek w formie de </w:t>
      </w:r>
      <w:proofErr w:type="spellStart"/>
      <w:r w:rsidRPr="000C42CE">
        <w:rPr>
          <w:rFonts w:cs="Calibri"/>
        </w:rPr>
        <w:t>minimis</w:t>
      </w:r>
      <w:proofErr w:type="spellEnd"/>
      <w:r w:rsidRPr="000C42CE">
        <w:rPr>
          <w:rFonts w:cs="Calibri"/>
        </w:rPr>
        <w:t xml:space="preserve"> - w rozumieniu Rozporządzenia Komisji (UE) nr 1407/2013 </w:t>
      </w:r>
      <w:r w:rsidRPr="000C42CE">
        <w:rPr>
          <w:rFonts w:cs="Calibri"/>
        </w:rPr>
        <w:br/>
        <w:t xml:space="preserve">z dnia 18 grudnia 2013 r. w sprawie stosowania art. 107 i 108 Traktatu o funkcjonowaniu Unii Europejskiej do pomocy de </w:t>
      </w:r>
      <w:proofErr w:type="spellStart"/>
      <w:r w:rsidRPr="000C42CE">
        <w:rPr>
          <w:rFonts w:cs="Calibri"/>
        </w:rPr>
        <w:t>minimis</w:t>
      </w:r>
      <w:proofErr w:type="spellEnd"/>
      <w:r w:rsidRPr="000C42CE">
        <w:rPr>
          <w:rFonts w:cs="Calibri"/>
        </w:rPr>
        <w:t xml:space="preserve"> oraz Rozporządzenia Ministra Infrastruktury i Rozwoju z dnia 19 marca 2015 r. w sprawie udzielania pomocy de </w:t>
      </w:r>
      <w:proofErr w:type="spellStart"/>
      <w:r w:rsidRPr="000C42CE">
        <w:rPr>
          <w:rFonts w:cs="Calibri"/>
        </w:rPr>
        <w:t>minimis</w:t>
      </w:r>
      <w:proofErr w:type="spellEnd"/>
      <w:r w:rsidRPr="000C42CE">
        <w:rPr>
          <w:rFonts w:cs="Calibri"/>
        </w:rPr>
        <w:t xml:space="preserve"> w ramach regionalnych programów operacyjnych na lata 2014 – 2020 (Dz.U. 2015 poz. 488 z późniejszymi zmianami).</w:t>
      </w:r>
    </w:p>
    <w:p w14:paraId="6EB4ABC8" w14:textId="77777777" w:rsidR="0090184F" w:rsidRPr="000C42CE" w:rsidRDefault="0090184F" w:rsidP="0090184F">
      <w:pPr>
        <w:pStyle w:val="Default"/>
        <w:numPr>
          <w:ilvl w:val="0"/>
          <w:numId w:val="42"/>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 xml:space="preserve">Formy pomocy, o których mowa w pkt 3 powyżej mogą być łączone w ramach Projektu, przy zachowaniu zasad kumulacji określonych w art. 8, Rozporządzenia Komisji Europejskiej (UE) </w:t>
      </w:r>
      <w:r w:rsidRPr="000C42CE">
        <w:rPr>
          <w:rFonts w:asciiTheme="minorHAnsi" w:hAnsiTheme="minorHAnsi"/>
          <w:color w:val="auto"/>
          <w:sz w:val="22"/>
          <w:szCs w:val="22"/>
        </w:rPr>
        <w:br/>
        <w:t>nr 651/2014 z dnia 17 czerwca 2014 r. uznające niektóre rodzaje pomocy za zgodne z rynkiem wewnętrznym w zastosowaniu art. 107 i 108 Traktatu.</w:t>
      </w:r>
    </w:p>
    <w:p w14:paraId="242F0DE5" w14:textId="77777777" w:rsidR="0090184F" w:rsidRPr="000C42CE" w:rsidRDefault="0090184F" w:rsidP="0090184F">
      <w:pPr>
        <w:pStyle w:val="Akapitzlist"/>
        <w:numPr>
          <w:ilvl w:val="0"/>
          <w:numId w:val="42"/>
        </w:numPr>
        <w:spacing w:before="120" w:after="120"/>
        <w:contextualSpacing w:val="0"/>
        <w:jc w:val="both"/>
        <w:rPr>
          <w:rFonts w:cs="Calibri"/>
        </w:rPr>
      </w:pPr>
      <w:r w:rsidRPr="000C42CE">
        <w:rPr>
          <w:rFonts w:cs="Calibri"/>
        </w:rPr>
        <w:t xml:space="preserve">Wartość pomocy publicznej stanowi ekwiwalent dotacji brutto pomocy, obliczonej zgodnie </w:t>
      </w:r>
      <w:r w:rsidRPr="000C42CE">
        <w:rPr>
          <w:rFonts w:cs="Calibri"/>
        </w:rPr>
        <w:br/>
        <w:t>z Rozporządzeniem Rady Ministrów z dnia 11 sierpnia 2004 r. w sprawie szczegółowego sposobu obliczania wartości pomocy publicznej udzielanej w różnych formach.</w:t>
      </w:r>
    </w:p>
    <w:p w14:paraId="3C34D5F2" w14:textId="77777777" w:rsidR="0090184F" w:rsidRPr="000C42CE" w:rsidRDefault="0090184F" w:rsidP="0090184F">
      <w:pPr>
        <w:numPr>
          <w:ilvl w:val="0"/>
          <w:numId w:val="42"/>
        </w:numPr>
        <w:autoSpaceDE w:val="0"/>
        <w:autoSpaceDN w:val="0"/>
        <w:adjustRightInd w:val="0"/>
        <w:spacing w:before="120" w:after="120"/>
        <w:jc w:val="both"/>
        <w:rPr>
          <w:rFonts w:cs="Calibri"/>
        </w:rPr>
      </w:pPr>
      <w:r w:rsidRPr="000C42CE">
        <w:rPr>
          <w:rFonts w:cs="Calibri"/>
        </w:rPr>
        <w:t xml:space="preserve">Pożyczki bez pomocy publicznej udzielane są w sytuacjach, gdy nie grozi to zakłóceniem lub nie zakłóca konkurencji na rynku zgodnie z art. 107 ust. 1 Traktatu o funkcjonowaniu Unii Europejskiej Projekty, których przedmiotem jest rewitalizacja obiektów, których ponad 15% powierzchni całkowitej obiektu służy prowadzeniu działalności gospodarczej nie mogą uzyskać wsparcia w formie Jednostkowej Pożyczki bez pomocy publicznej. </w:t>
      </w:r>
    </w:p>
    <w:p w14:paraId="520070E4" w14:textId="77777777" w:rsidR="0090184F" w:rsidRPr="000C42CE" w:rsidRDefault="0090184F" w:rsidP="0090184F">
      <w:pPr>
        <w:numPr>
          <w:ilvl w:val="0"/>
          <w:numId w:val="42"/>
        </w:numPr>
        <w:autoSpaceDE w:val="0"/>
        <w:autoSpaceDN w:val="0"/>
        <w:adjustRightInd w:val="0"/>
        <w:spacing w:before="120" w:after="120"/>
        <w:jc w:val="both"/>
        <w:rPr>
          <w:rFonts w:cs="Calibri"/>
        </w:rPr>
      </w:pPr>
      <w:r w:rsidRPr="000C42CE">
        <w:rPr>
          <w:rFonts w:cs="Calibri"/>
        </w:rPr>
        <w:t>W przypadku Jednostkowych Pożyczek z pomocą regionalną, ze środków Jednostkowej Pożyczki może zostać sfinansowane do 70% kosztów kwalifikowalnych Projektu.</w:t>
      </w:r>
    </w:p>
    <w:p w14:paraId="75F7BBB5" w14:textId="77777777" w:rsidR="0090184F" w:rsidRPr="000C42CE" w:rsidRDefault="0090184F" w:rsidP="0090184F">
      <w:pPr>
        <w:pStyle w:val="Default"/>
        <w:numPr>
          <w:ilvl w:val="0"/>
          <w:numId w:val="42"/>
        </w:numPr>
        <w:spacing w:before="120" w:after="120" w:line="276" w:lineRule="auto"/>
        <w:jc w:val="both"/>
        <w:rPr>
          <w:rFonts w:asciiTheme="minorHAnsi" w:hAnsiTheme="minorHAnsi"/>
          <w:color w:val="auto"/>
          <w:sz w:val="22"/>
          <w:szCs w:val="22"/>
        </w:rPr>
      </w:pPr>
      <w:r w:rsidRPr="000C42CE">
        <w:rPr>
          <w:rFonts w:asciiTheme="minorHAnsi" w:hAnsiTheme="minorHAnsi"/>
          <w:color w:val="auto"/>
          <w:sz w:val="22"/>
          <w:szCs w:val="22"/>
        </w:rPr>
        <w:t>W przypadku Jednostkowych Pożyczek udzielanych w formie pomocy inwestycyjnej Ostateczny Odbiorca zobowiązany jest do zapewnienia wkładu własnego</w:t>
      </w:r>
      <w:r w:rsidRPr="000C42CE">
        <w:rPr>
          <w:rStyle w:val="Odwoanieprzypisudolnego"/>
          <w:rFonts w:asciiTheme="minorHAnsi" w:hAnsiTheme="minorHAnsi"/>
          <w:color w:val="auto"/>
          <w:sz w:val="22"/>
          <w:szCs w:val="22"/>
        </w:rPr>
        <w:footnoteReference w:id="12"/>
      </w:r>
      <w:r w:rsidRPr="000C42CE">
        <w:rPr>
          <w:rFonts w:asciiTheme="minorHAnsi" w:hAnsiTheme="minorHAnsi"/>
          <w:color w:val="auto"/>
          <w:sz w:val="22"/>
          <w:szCs w:val="22"/>
        </w:rPr>
        <w:t xml:space="preserve"> (środków własnych lub wkładu </w:t>
      </w:r>
      <w:r w:rsidRPr="000C42CE">
        <w:rPr>
          <w:rFonts w:asciiTheme="minorHAnsi" w:hAnsiTheme="minorHAnsi"/>
          <w:color w:val="auto"/>
          <w:sz w:val="22"/>
          <w:szCs w:val="22"/>
        </w:rPr>
        <w:lastRenderedPageBreak/>
        <w:t>pozyskanego z zewnętrznych źródeł finansowania, w postaci wolnej od wszelkiego publicznego wsparcia finansowego, w wysokości co najmniej 30% wartości inwestycji</w:t>
      </w:r>
      <w:r w:rsidRPr="000C42CE">
        <w:rPr>
          <w:rStyle w:val="Odwoanieprzypisudolnego"/>
          <w:rFonts w:asciiTheme="minorHAnsi" w:hAnsiTheme="minorHAnsi"/>
          <w:color w:val="auto"/>
          <w:sz w:val="22"/>
          <w:szCs w:val="22"/>
        </w:rPr>
        <w:footnoteReference w:id="13"/>
      </w:r>
      <w:r w:rsidRPr="000C42CE">
        <w:rPr>
          <w:rFonts w:asciiTheme="minorHAnsi" w:hAnsiTheme="minorHAnsi"/>
          <w:color w:val="auto"/>
          <w:sz w:val="22"/>
          <w:szCs w:val="22"/>
        </w:rPr>
        <w:t>).</w:t>
      </w:r>
    </w:p>
    <w:p w14:paraId="3BE909A3" w14:textId="77777777" w:rsidR="0090184F" w:rsidRPr="000C42CE" w:rsidRDefault="0090184F" w:rsidP="0090184F">
      <w:pPr>
        <w:pStyle w:val="Akapitzlist"/>
        <w:numPr>
          <w:ilvl w:val="0"/>
          <w:numId w:val="42"/>
        </w:numPr>
        <w:spacing w:before="120" w:after="120"/>
        <w:contextualSpacing w:val="0"/>
        <w:jc w:val="both"/>
        <w:rPr>
          <w:rFonts w:cs="Calibri"/>
        </w:rPr>
      </w:pPr>
      <w:r w:rsidRPr="000C42CE">
        <w:rPr>
          <w:rFonts w:cs="Calibri"/>
        </w:rPr>
        <w:t xml:space="preserve">W przypadku udzielania pomocy publicznej zgłaszanie faktu udzielenia takiej pomocy, wydania stosownego zaświadczenia oraz składania sprawozdań z udzielonej pomocy publicznej do właściwej instytucji spoczywa na Pośredniku Finansowym, zgodnie z Rozporządzeniem Rady Ministrów z dnia 23 grudnia 2009 r. w sprawie przekazywania sprawozdań o udzielonej pomocy publicznej i informacji o nieudzieleniu takiej pomocy z wykorzystaniem aplikacji SHRIMP </w:t>
      </w:r>
      <w:r w:rsidRPr="000C42CE">
        <w:rPr>
          <w:rFonts w:cs="Calibri"/>
        </w:rPr>
        <w:br/>
        <w:t>(Dz.U. 2014 poz. 59 z późniejszymi zmianami).</w:t>
      </w:r>
    </w:p>
    <w:p w14:paraId="762387DB" w14:textId="77777777" w:rsidR="0090184F" w:rsidRPr="000C42CE" w:rsidRDefault="0090184F" w:rsidP="0090184F">
      <w:pPr>
        <w:pStyle w:val="Akapitzlist"/>
        <w:numPr>
          <w:ilvl w:val="0"/>
          <w:numId w:val="42"/>
        </w:numPr>
        <w:spacing w:before="120" w:after="120"/>
        <w:contextualSpacing w:val="0"/>
        <w:jc w:val="both"/>
      </w:pPr>
      <w:r w:rsidRPr="000C42CE">
        <w:rPr>
          <w:rFonts w:cs="Calibri"/>
        </w:rPr>
        <w:t>Wszelkie czynności dokonywane przez Pośrednika Finansowego na etapie udzielenia i obsługi Jednostkowej Pożyczki, w tym monitorowania, rozliczenia i spłaty, nie generują dodatkowych kosztów po stronie Ostatecznego Odbiorcy. Powyższe nie dotyczy odrębnie uregulowanych czynności windykacyjnych.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tblGrid>
      <w:tr w:rsidR="004E6364" w:rsidRPr="000C42CE" w14:paraId="292BE5BA" w14:textId="74D682DC" w:rsidTr="004E6364">
        <w:tc>
          <w:tcPr>
            <w:tcW w:w="3212" w:type="dxa"/>
            <w:tcBorders>
              <w:bottom w:val="dotted" w:sz="4" w:space="0" w:color="auto"/>
            </w:tcBorders>
          </w:tcPr>
          <w:p w14:paraId="6F56E2D3" w14:textId="3B36344B" w:rsidR="004E6364" w:rsidRPr="000C42CE" w:rsidRDefault="004E6364" w:rsidP="00651784">
            <w:pPr>
              <w:tabs>
                <w:tab w:val="num" w:pos="426"/>
              </w:tabs>
              <w:spacing w:before="120" w:after="120" w:line="276" w:lineRule="auto"/>
              <w:jc w:val="both"/>
              <w:rPr>
                <w:sz w:val="22"/>
                <w:szCs w:val="22"/>
              </w:rPr>
            </w:pPr>
          </w:p>
        </w:tc>
      </w:tr>
      <w:tr w:rsidR="004E6364" w:rsidRPr="000C42CE" w14:paraId="44B09798" w14:textId="4D5A480A" w:rsidTr="004E6364">
        <w:tc>
          <w:tcPr>
            <w:tcW w:w="3212" w:type="dxa"/>
            <w:tcBorders>
              <w:top w:val="dotted" w:sz="4" w:space="0" w:color="auto"/>
            </w:tcBorders>
          </w:tcPr>
          <w:p w14:paraId="1418D8A8" w14:textId="6EC8A22A" w:rsidR="004E6364" w:rsidRPr="000C42CE" w:rsidRDefault="004E6364" w:rsidP="00651784">
            <w:pPr>
              <w:tabs>
                <w:tab w:val="num" w:pos="426"/>
              </w:tabs>
              <w:spacing w:before="120" w:after="120" w:line="276" w:lineRule="auto"/>
              <w:jc w:val="both"/>
              <w:rPr>
                <w:sz w:val="22"/>
                <w:szCs w:val="22"/>
              </w:rPr>
            </w:pPr>
            <w:r w:rsidRPr="000C42CE">
              <w:rPr>
                <w:rFonts w:asciiTheme="minorHAnsi" w:eastAsiaTheme="minorHAnsi" w:hAnsiTheme="minorHAnsi"/>
                <w:sz w:val="22"/>
                <w:szCs w:val="22"/>
                <w:lang w:eastAsia="en-US"/>
              </w:rPr>
              <w:t xml:space="preserve">Podpis </w:t>
            </w:r>
            <w:r w:rsidR="00511011" w:rsidRPr="000C42CE">
              <w:rPr>
                <w:rFonts w:asciiTheme="minorHAnsi" w:eastAsiaTheme="minorHAnsi" w:hAnsiTheme="minorHAnsi"/>
                <w:sz w:val="22"/>
                <w:szCs w:val="22"/>
                <w:lang w:eastAsia="en-US"/>
              </w:rPr>
              <w:t>pożyczkodawcy</w:t>
            </w:r>
          </w:p>
        </w:tc>
      </w:tr>
    </w:tbl>
    <w:p w14:paraId="014D0978" w14:textId="1B8A84C5" w:rsidR="004E6364" w:rsidRPr="000C42CE" w:rsidRDefault="004E6364" w:rsidP="00651784">
      <w:pPr>
        <w:tabs>
          <w:tab w:val="num" w:pos="426"/>
        </w:tabs>
        <w:spacing w:before="120" w:after="120"/>
        <w:jc w:val="both"/>
      </w:pPr>
    </w:p>
    <w:p w14:paraId="3B6C3FC7" w14:textId="2C144AF1" w:rsidR="004E6364" w:rsidRPr="000C42CE" w:rsidRDefault="004E6364" w:rsidP="00651784">
      <w:pPr>
        <w:tabs>
          <w:tab w:val="num" w:pos="426"/>
        </w:tabs>
        <w:spacing w:before="120" w:after="120"/>
        <w:jc w:val="both"/>
      </w:pPr>
    </w:p>
    <w:p w14:paraId="03FBD6B1" w14:textId="3DC4B5B8" w:rsidR="004E6364" w:rsidRPr="000C42CE" w:rsidRDefault="004E6364" w:rsidP="00651784">
      <w:pPr>
        <w:tabs>
          <w:tab w:val="num" w:pos="426"/>
        </w:tabs>
        <w:spacing w:before="120" w:after="120"/>
        <w:jc w:val="both"/>
      </w:pPr>
      <w:r w:rsidRPr="000C42CE">
        <w:t>Oświadczam, iż zapoznałem się z treścią niniejszego dokumentu:</w:t>
      </w:r>
    </w:p>
    <w:p w14:paraId="0D02CB34" w14:textId="3E7C2DE8" w:rsidR="004E6364" w:rsidRPr="000C42CE" w:rsidRDefault="004E6364" w:rsidP="00651784">
      <w:pPr>
        <w:tabs>
          <w:tab w:val="num" w:pos="426"/>
        </w:tabs>
        <w:spacing w:before="120" w:after="120"/>
        <w:jc w:val="both"/>
      </w:pPr>
    </w:p>
    <w:tbl>
      <w:tblPr>
        <w:tblStyle w:val="Tabela-Siatka"/>
        <w:tblW w:w="0" w:type="auto"/>
        <w:tblLook w:val="04A0" w:firstRow="1" w:lastRow="0" w:firstColumn="1" w:lastColumn="0" w:noHBand="0" w:noVBand="1"/>
      </w:tblPr>
      <w:tblGrid>
        <w:gridCol w:w="3212"/>
      </w:tblGrid>
      <w:tr w:rsidR="004E6364" w:rsidRPr="000C42CE" w14:paraId="0E586003" w14:textId="5E72DBF2" w:rsidTr="004E6364">
        <w:tc>
          <w:tcPr>
            <w:tcW w:w="3212" w:type="dxa"/>
            <w:tcBorders>
              <w:top w:val="nil"/>
              <w:left w:val="nil"/>
              <w:bottom w:val="dotted" w:sz="4" w:space="0" w:color="auto"/>
              <w:right w:val="nil"/>
            </w:tcBorders>
          </w:tcPr>
          <w:p w14:paraId="7927FE6C" w14:textId="3CFA03DC" w:rsidR="004E6364" w:rsidRPr="000C42CE" w:rsidRDefault="004E6364" w:rsidP="00651784">
            <w:pPr>
              <w:tabs>
                <w:tab w:val="num" w:pos="426"/>
              </w:tabs>
              <w:spacing w:before="120" w:after="120" w:line="276" w:lineRule="auto"/>
              <w:jc w:val="both"/>
              <w:rPr>
                <w:sz w:val="22"/>
                <w:szCs w:val="22"/>
              </w:rPr>
            </w:pPr>
          </w:p>
        </w:tc>
      </w:tr>
      <w:tr w:rsidR="004E6364" w:rsidRPr="000C42CE" w14:paraId="03E504F5" w14:textId="4C3AEECC" w:rsidTr="004E6364">
        <w:tc>
          <w:tcPr>
            <w:tcW w:w="3212" w:type="dxa"/>
            <w:tcBorders>
              <w:top w:val="dotted" w:sz="4" w:space="0" w:color="auto"/>
              <w:left w:val="nil"/>
              <w:bottom w:val="nil"/>
              <w:right w:val="nil"/>
            </w:tcBorders>
          </w:tcPr>
          <w:p w14:paraId="6F68006B" w14:textId="3D038CBC" w:rsidR="004E6364" w:rsidRPr="000C42CE" w:rsidRDefault="004E6364" w:rsidP="00651784">
            <w:pPr>
              <w:tabs>
                <w:tab w:val="num" w:pos="426"/>
              </w:tabs>
              <w:spacing w:before="120" w:after="120" w:line="276" w:lineRule="auto"/>
              <w:jc w:val="both"/>
              <w:rPr>
                <w:sz w:val="22"/>
                <w:szCs w:val="22"/>
              </w:rPr>
            </w:pPr>
            <w:r w:rsidRPr="000C42CE">
              <w:rPr>
                <w:rFonts w:asciiTheme="minorHAnsi" w:eastAsiaTheme="minorHAnsi" w:hAnsiTheme="minorHAnsi"/>
                <w:sz w:val="22"/>
                <w:szCs w:val="22"/>
                <w:lang w:eastAsia="en-US"/>
              </w:rPr>
              <w:t xml:space="preserve">Podpis </w:t>
            </w:r>
            <w:r w:rsidR="003E578E" w:rsidRPr="000C42CE">
              <w:rPr>
                <w:rFonts w:asciiTheme="minorHAnsi" w:eastAsiaTheme="minorHAnsi" w:hAnsiTheme="minorHAnsi"/>
                <w:sz w:val="22"/>
                <w:szCs w:val="22"/>
                <w:lang w:eastAsia="en-US"/>
              </w:rPr>
              <w:t>pożyczkobiorcy</w:t>
            </w:r>
          </w:p>
        </w:tc>
      </w:tr>
    </w:tbl>
    <w:p w14:paraId="42D78444" w14:textId="77777777" w:rsidR="004E6364" w:rsidRPr="000C42CE" w:rsidRDefault="004E6364" w:rsidP="00651784">
      <w:pPr>
        <w:tabs>
          <w:tab w:val="num" w:pos="426"/>
        </w:tabs>
        <w:spacing w:before="120" w:after="120"/>
        <w:jc w:val="both"/>
      </w:pPr>
    </w:p>
    <w:sectPr w:rsidR="004E6364" w:rsidRPr="000C42CE" w:rsidSect="006B26B1">
      <w:headerReference w:type="default" r:id="rId8"/>
      <w:footerReference w:type="default" r:id="rId9"/>
      <w:pgSz w:w="11906" w:h="16838"/>
      <w:pgMar w:top="1417" w:right="1133" w:bottom="1135" w:left="1276"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C0F12" w14:textId="77777777" w:rsidR="00195DD0" w:rsidRDefault="00195DD0" w:rsidP="00BA3860">
      <w:pPr>
        <w:spacing w:after="0" w:line="240" w:lineRule="auto"/>
      </w:pPr>
      <w:r>
        <w:separator/>
      </w:r>
    </w:p>
  </w:endnote>
  <w:endnote w:type="continuationSeparator" w:id="0">
    <w:p w14:paraId="76EA9B73" w14:textId="77777777" w:rsidR="00195DD0" w:rsidRDefault="00195DD0" w:rsidP="00BA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horndale A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6152659"/>
      <w:docPartObj>
        <w:docPartGallery w:val="Page Numbers (Bottom of Page)"/>
        <w:docPartUnique/>
      </w:docPartObj>
    </w:sdtPr>
    <w:sdtEndPr/>
    <w:sdtContent>
      <w:sdt>
        <w:sdtPr>
          <w:id w:val="-1669238322"/>
          <w:docPartObj>
            <w:docPartGallery w:val="Page Numbers (Top of Page)"/>
            <w:docPartUnique/>
          </w:docPartObj>
        </w:sdtPr>
        <w:sdtEndPr/>
        <w:sdtContent>
          <w:p w14:paraId="45BACBC1" w14:textId="18B791C8" w:rsidR="00F57684" w:rsidRDefault="00B11FB4">
            <w:pPr>
              <w:pStyle w:val="Stopka"/>
              <w:jc w:val="center"/>
            </w:pPr>
            <w:r>
              <w:rPr>
                <w:noProof/>
                <w:lang w:eastAsia="pl-PL"/>
              </w:rPr>
              <w:drawing>
                <wp:inline distT="0" distB="0" distL="0" distR="0" wp14:anchorId="1884917F" wp14:editId="30CE77D3">
                  <wp:extent cx="5759450" cy="288773"/>
                  <wp:effectExtent l="0" t="0" r="0" b="0"/>
                  <wp:docPr id="2" name="Obraz 2" descr="C:\Users\mbard\AppData\Local\Microsoft\Windows\Temporary Internet Files\Content.Outlook\I4BD26CI\belka_PR_RP_WM_BGK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ard\AppData\Local\Microsoft\Windows\Temporary Internet Files\Content.Outlook\I4BD26CI\belka_PR_RP_WM_BGK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288773"/>
                          </a:xfrm>
                          <a:prstGeom prst="rect">
                            <a:avLst/>
                          </a:prstGeom>
                          <a:noFill/>
                          <a:ln>
                            <a:noFill/>
                          </a:ln>
                        </pic:spPr>
                      </pic:pic>
                    </a:graphicData>
                  </a:graphic>
                </wp:inline>
              </w:drawing>
            </w:r>
            <w:r w:rsidR="00F57684">
              <w:t xml:space="preserve">Strona </w:t>
            </w:r>
            <w:r w:rsidR="00F57684">
              <w:rPr>
                <w:b/>
                <w:bCs/>
                <w:sz w:val="24"/>
                <w:szCs w:val="24"/>
              </w:rPr>
              <w:fldChar w:fldCharType="begin"/>
            </w:r>
            <w:r w:rsidR="00F57684">
              <w:rPr>
                <w:b/>
                <w:bCs/>
              </w:rPr>
              <w:instrText>PAGE</w:instrText>
            </w:r>
            <w:r w:rsidR="00F57684">
              <w:rPr>
                <w:b/>
                <w:bCs/>
                <w:sz w:val="24"/>
                <w:szCs w:val="24"/>
              </w:rPr>
              <w:fldChar w:fldCharType="separate"/>
            </w:r>
            <w:r w:rsidR="002E1AFA">
              <w:rPr>
                <w:b/>
                <w:bCs/>
                <w:noProof/>
              </w:rPr>
              <w:t>4</w:t>
            </w:r>
            <w:r w:rsidR="00F57684">
              <w:rPr>
                <w:b/>
                <w:bCs/>
                <w:sz w:val="24"/>
                <w:szCs w:val="24"/>
              </w:rPr>
              <w:fldChar w:fldCharType="end"/>
            </w:r>
            <w:r w:rsidR="00F57684">
              <w:t xml:space="preserve"> z </w:t>
            </w:r>
            <w:r w:rsidR="00F57684">
              <w:rPr>
                <w:b/>
                <w:bCs/>
                <w:sz w:val="24"/>
                <w:szCs w:val="24"/>
              </w:rPr>
              <w:fldChar w:fldCharType="begin"/>
            </w:r>
            <w:r w:rsidR="00F57684">
              <w:rPr>
                <w:b/>
                <w:bCs/>
              </w:rPr>
              <w:instrText>NUMPAGES</w:instrText>
            </w:r>
            <w:r w:rsidR="00F57684">
              <w:rPr>
                <w:b/>
                <w:bCs/>
                <w:sz w:val="24"/>
                <w:szCs w:val="24"/>
              </w:rPr>
              <w:fldChar w:fldCharType="separate"/>
            </w:r>
            <w:r w:rsidR="002E1AFA">
              <w:rPr>
                <w:b/>
                <w:bCs/>
                <w:noProof/>
              </w:rPr>
              <w:t>7</w:t>
            </w:r>
            <w:r w:rsidR="00F57684">
              <w:rPr>
                <w:b/>
                <w:bCs/>
                <w:sz w:val="24"/>
                <w:szCs w:val="24"/>
              </w:rPr>
              <w:fldChar w:fldCharType="end"/>
            </w:r>
          </w:p>
        </w:sdtContent>
      </w:sdt>
    </w:sdtContent>
  </w:sdt>
  <w:p w14:paraId="52174086" w14:textId="77777777" w:rsidR="003E4B31" w:rsidRDefault="003E4B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1F1C4" w14:textId="77777777" w:rsidR="00195DD0" w:rsidRDefault="00195DD0" w:rsidP="00BA3860">
      <w:pPr>
        <w:spacing w:after="0" w:line="240" w:lineRule="auto"/>
      </w:pPr>
      <w:bookmarkStart w:id="0" w:name="_Hlk64367215"/>
      <w:bookmarkEnd w:id="0"/>
      <w:r>
        <w:separator/>
      </w:r>
    </w:p>
  </w:footnote>
  <w:footnote w:type="continuationSeparator" w:id="0">
    <w:p w14:paraId="794CE620" w14:textId="77777777" w:rsidR="00195DD0" w:rsidRDefault="00195DD0" w:rsidP="00BA3860">
      <w:pPr>
        <w:spacing w:after="0" w:line="240" w:lineRule="auto"/>
      </w:pPr>
      <w:r>
        <w:continuationSeparator/>
      </w:r>
    </w:p>
  </w:footnote>
  <w:footnote w:id="1">
    <w:p w14:paraId="09562B1D"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Pojęcia z zakresu rewitalizacji rozumiane są zgodnie z Wytycznymi w zakresie rewitalizacji w programach operacyjnych na lata 2014-2020 (MR, Warszawa 2 sierpnia 2016 r.) </w:t>
      </w:r>
    </w:p>
  </w:footnote>
  <w:footnote w:id="2">
    <w:p w14:paraId="59A99140"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Droga rowerowa- rozumiana jako droga lub jej część, przeznaczona do ruchu rowerów oznaczona odpowiednimi znakami drogowymi, droga dla rowerów jest oddzielna od innych dróg lub jezdni tej samej drogi konstrukcyjnie lub za pomocą urządzeń bezpieczeństwa ruchu drogowego (Ustawa z dnia 20 czerwca 1997 r. Prawo o ruchu drogowym  Dz. U. </w:t>
      </w:r>
      <w:r>
        <w:t>2018</w:t>
      </w:r>
      <w:r w:rsidRPr="002C53EA">
        <w:t xml:space="preserve"> poz.</w:t>
      </w:r>
      <w:r>
        <w:t xml:space="preserve"> 1990</w:t>
      </w:r>
      <w:r w:rsidRPr="002C53EA">
        <w:t xml:space="preserve"> z </w:t>
      </w:r>
      <w:proofErr w:type="spellStart"/>
      <w:r w:rsidRPr="002C53EA">
        <w:t>późn</w:t>
      </w:r>
      <w:proofErr w:type="spellEnd"/>
      <w:r w:rsidRPr="002C53EA">
        <w:t xml:space="preserve">. zm.) </w:t>
      </w:r>
    </w:p>
  </w:footnote>
  <w:footnote w:id="3">
    <w:p w14:paraId="6D13CD4B"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Budynki użyteczności publicznej zgodnie z § 3 pkt. 6 rozporządzenia Ministra Infrastruktury z dnia 12 kwietnia 2002 r. w sprawie warunków technicznych, jakim powinny odpowiadać budynki i ich usytuowanie (Dz.U.2002.75.690 z </w:t>
      </w:r>
      <w:proofErr w:type="spellStart"/>
      <w:r w:rsidRPr="002C53EA">
        <w:t>późn</w:t>
      </w:r>
      <w:proofErr w:type="spellEnd"/>
      <w:r w:rsidRPr="002C53EA">
        <w:t xml:space="preserve">. zm.)  </w:t>
      </w:r>
    </w:p>
  </w:footnote>
  <w:footnote w:id="4">
    <w:p w14:paraId="297927A8" w14:textId="77777777" w:rsidR="00CE1D2A" w:rsidRPr="002C53EA" w:rsidRDefault="00CE1D2A" w:rsidP="00CE1D2A">
      <w:pPr>
        <w:pStyle w:val="Tekstprzypisudolnego"/>
        <w:tabs>
          <w:tab w:val="left" w:pos="567"/>
        </w:tabs>
        <w:spacing w:after="120"/>
        <w:ind w:left="142" w:hanging="142"/>
      </w:pPr>
      <w:r w:rsidRPr="002C53EA">
        <w:rPr>
          <w:rStyle w:val="Odwoanieprzypisudolnego"/>
        </w:rPr>
        <w:footnoteRef/>
      </w:r>
      <w:r w:rsidRPr="002C53EA">
        <w:t xml:space="preserve"> Przez budynek mieszkalny należy rozumieć budynek przeznaczony na cele mieszkalne zajęty przez lokale mieszkalne.</w:t>
      </w:r>
    </w:p>
  </w:footnote>
  <w:footnote w:id="5">
    <w:p w14:paraId="0525CAAD" w14:textId="77777777" w:rsidR="00CE1D2A" w:rsidRPr="002C53EA" w:rsidRDefault="00CE1D2A" w:rsidP="00ED0861">
      <w:pPr>
        <w:pStyle w:val="Tekstprzypisudolnego"/>
        <w:tabs>
          <w:tab w:val="left" w:pos="567"/>
        </w:tabs>
        <w:spacing w:after="120"/>
        <w:ind w:left="142" w:hanging="142"/>
        <w:jc w:val="both"/>
      </w:pPr>
      <w:r w:rsidRPr="002C53EA">
        <w:rPr>
          <w:rStyle w:val="Odwoanieprzypisudolnego"/>
        </w:rPr>
        <w:footnoteRef/>
      </w:r>
      <w:r w:rsidRPr="002C53EA">
        <w:t xml:space="preserve"> </w:t>
      </w:r>
      <w:r w:rsidRPr="002C53EA">
        <w:rPr>
          <w:rFonts w:cstheme="minorHAnsi"/>
        </w:rPr>
        <w:t xml:space="preserve">Dodatkowe informacje,  na temat projektowania uniwersalnego można znaleźć na stronie internetowej: </w:t>
      </w:r>
      <w:hyperlink r:id="rId1" w:history="1">
        <w:r w:rsidRPr="002C53EA">
          <w:rPr>
            <w:rStyle w:val="Hipercze"/>
            <w:rFonts w:cstheme="minorHAnsi"/>
          </w:rPr>
          <w:t>http://www.power.gov.pl/dostepnosc</w:t>
        </w:r>
      </w:hyperlink>
      <w:r>
        <w:rPr>
          <w:rFonts w:cstheme="minorHAnsi"/>
        </w:rPr>
        <w:t xml:space="preserve">, </w:t>
      </w:r>
      <w:r w:rsidRPr="002C53EA">
        <w:rPr>
          <w:rFonts w:cstheme="minorHAnsi"/>
        </w:rPr>
        <w:t>https://www.funduszeeuropejskie.gov.pl/strony/o-funduszach/dokumenty/wytyczne-w-zakresie-realizacji-zasady-rownosci-szans-i-niedyskryminacji-oraz-zasady-rownosci-szans/</w:t>
      </w:r>
    </w:p>
  </w:footnote>
  <w:footnote w:id="6">
    <w:p w14:paraId="15DCFDE8" w14:textId="77777777" w:rsidR="00CE1D2A" w:rsidRPr="002C53EA" w:rsidRDefault="00CE1D2A" w:rsidP="00ED0861">
      <w:pPr>
        <w:pStyle w:val="Tekstprzypisudolnego"/>
        <w:tabs>
          <w:tab w:val="left" w:pos="567"/>
        </w:tabs>
        <w:spacing w:after="120"/>
        <w:ind w:left="142" w:hanging="142"/>
        <w:jc w:val="both"/>
      </w:pPr>
      <w:r w:rsidRPr="002C53EA">
        <w:rPr>
          <w:rStyle w:val="Odwoanieprzypisudolnego"/>
        </w:rPr>
        <w:footnoteRef/>
      </w:r>
      <w:r w:rsidRPr="002C53EA">
        <w:t xml:space="preserve"> Audyt energetyczny powinien zostać wykonany przez audytora energetycznego (zgodnie z Rozporządzeniem Ministra Infrastruktury z dnia 17 marca 2009 r. w sprawie szczegółowego zakresu form audytu energetycznego oraz części audytu remontowego, wzorów kart audytów, a także algorytmu oceny opłacalności przedsięwzięcia termomodernizacyjnego z pó</w:t>
      </w:r>
      <w:r>
        <w:t>ź</w:t>
      </w:r>
      <w:r w:rsidRPr="002C53EA">
        <w:t>n.zm.). Kryteria minimalne audytu energetycznego określa Dyrektywa Parlamentu Europejskiego i Rady nr 2012/27/UE z dnia 26 października 2012 r. w sprawie efektywności energetycznej.</w:t>
      </w:r>
    </w:p>
  </w:footnote>
  <w:footnote w:id="7">
    <w:p w14:paraId="49F2989F" w14:textId="77777777" w:rsidR="00515136" w:rsidRPr="002C53EA" w:rsidRDefault="00515136" w:rsidP="00ED0861">
      <w:pPr>
        <w:pStyle w:val="Tekstprzypisudolnego"/>
        <w:tabs>
          <w:tab w:val="left" w:pos="567"/>
        </w:tabs>
        <w:spacing w:after="120"/>
        <w:ind w:left="142" w:hanging="142"/>
        <w:jc w:val="both"/>
      </w:pPr>
      <w:r w:rsidRPr="002C53EA">
        <w:rPr>
          <w:rStyle w:val="Odwoanieprzypisudolnego"/>
        </w:rPr>
        <w:footnoteRef/>
      </w:r>
      <w:r w:rsidRPr="002C53EA">
        <w:t xml:space="preserve"> Audyt energetyczny powinien zostać wykonany przez audytora energetycznego (zgodnie z Rozporządzeniem Ministra Infrastruktury z dnia 17 marca 2009 r. w sprawie szczegółowego zakresu form audytu energetycznego oraz części audytu remontowego, wzorów kart audytów, a także algorytmu oceny opłacalności przedsięwzięcia termomodernizacyjnego z pó</w:t>
      </w:r>
      <w:r>
        <w:t>ź</w:t>
      </w:r>
      <w:r w:rsidRPr="002C53EA">
        <w:t>n.zm.). Kryteria minimalne audytu energetycznego określa Dyrektywa Parlamentu Europejskiego i Rady nr 2012/27/UE z dnia 26 października 2012 r. w sprawie efektywności energetycznej.</w:t>
      </w:r>
    </w:p>
  </w:footnote>
  <w:footnote w:id="8">
    <w:p w14:paraId="1DB5C0CE" w14:textId="77777777" w:rsidR="00A62896" w:rsidRPr="002C53EA" w:rsidRDefault="00A62896" w:rsidP="00A62896">
      <w:pPr>
        <w:pStyle w:val="Tekstprzypisudolnego"/>
        <w:spacing w:after="120"/>
        <w:ind w:left="142" w:hanging="142"/>
      </w:pPr>
      <w:r w:rsidRPr="002C53EA">
        <w:rPr>
          <w:rStyle w:val="Odwoanieprzypisudolnego"/>
        </w:rPr>
        <w:footnoteRef/>
      </w:r>
      <w:r w:rsidRPr="002C53EA">
        <w:t xml:space="preserve"> działające na podstawie ustawy z dnia 16 września 1982 r. – Prawo spółdzielcze oraz ustawy z dnia 15 grudnia 2000 r. o spółdzielniach mieszkaniowych, posiadające osobowość prawną, które ze względu na przedmiot działalności spełnia również przesłanki przedsiębiorstwa w rozumieniu rozporządzenia Komisji (UE) nr 651/2014 z dn. 17 czerwca 2014 r. uznającego niektóre rodzaje pomocy za zgodne z rynkiem wewnętrznym w zastosowaniu art.107 i 108 Traktatu dotyczącym (Załącznik I, art. 1)</w:t>
      </w:r>
    </w:p>
  </w:footnote>
  <w:footnote w:id="9">
    <w:p w14:paraId="60B271EE" w14:textId="77777777" w:rsidR="00A62896" w:rsidRPr="002C53EA" w:rsidRDefault="00A62896" w:rsidP="00A62896">
      <w:pPr>
        <w:pStyle w:val="Tekstprzypisudolnego"/>
        <w:spacing w:after="120"/>
        <w:ind w:left="142" w:hanging="142"/>
      </w:pPr>
      <w:r w:rsidRPr="002C53EA">
        <w:rPr>
          <w:rStyle w:val="Odwoanieprzypisudolnego"/>
        </w:rPr>
        <w:footnoteRef/>
      </w:r>
      <w:r w:rsidRPr="002C53EA">
        <w:t xml:space="preserve"> jednostki organizacyjne nieposiadające osobowości prawnej, działające na podstawie ustawy o własności lokali, tworzone przez właścicieli lokali wchodzących w skład określonej nieruchomości</w:t>
      </w:r>
    </w:p>
  </w:footnote>
  <w:footnote w:id="10">
    <w:p w14:paraId="38C9A229" w14:textId="77777777" w:rsidR="00A62896" w:rsidRPr="002C53EA" w:rsidRDefault="00A62896" w:rsidP="00A62896">
      <w:pPr>
        <w:pStyle w:val="Tekstprzypisudolnego"/>
        <w:spacing w:after="120"/>
        <w:ind w:left="142" w:hanging="142"/>
      </w:pPr>
      <w:r w:rsidRPr="002C53EA">
        <w:rPr>
          <w:rStyle w:val="Odwoanieprzypisudolnego"/>
        </w:rPr>
        <w:footnoteRef/>
      </w:r>
      <w:r w:rsidRPr="002C53EA">
        <w:t xml:space="preserve"> działające na podstawie obowiązujących przepisów prawa, a w szczególności na podstawie:</w:t>
      </w:r>
    </w:p>
    <w:p w14:paraId="2A5ECB8C" w14:textId="77777777" w:rsidR="00A62896" w:rsidRPr="002C53EA" w:rsidRDefault="00A62896" w:rsidP="00A62896">
      <w:pPr>
        <w:pStyle w:val="Tekstprzypisudolnego"/>
        <w:numPr>
          <w:ilvl w:val="0"/>
          <w:numId w:val="40"/>
        </w:numPr>
        <w:spacing w:before="120" w:after="120"/>
        <w:ind w:left="426" w:hanging="284"/>
      </w:pPr>
      <w:r w:rsidRPr="002C53EA">
        <w:t>ustawy z dnia 26 października 1995 r. o niektórych formach popierania budownictwa mieszkaniowego (</w:t>
      </w:r>
      <w:proofErr w:type="spellStart"/>
      <w:r w:rsidRPr="002C53EA">
        <w:t>t.j</w:t>
      </w:r>
      <w:proofErr w:type="spellEnd"/>
      <w:r w:rsidRPr="002C53EA">
        <w:t>. Dz.U. z 201</w:t>
      </w:r>
      <w:r>
        <w:t>8</w:t>
      </w:r>
      <w:r w:rsidRPr="002C53EA">
        <w:t xml:space="preserve"> r., poz. </w:t>
      </w:r>
      <w:r>
        <w:t>1020</w:t>
      </w:r>
      <w:r w:rsidRPr="002C53EA">
        <w:t xml:space="preserve">, z </w:t>
      </w:r>
      <w:proofErr w:type="spellStart"/>
      <w:r w:rsidRPr="002C53EA">
        <w:t>późn</w:t>
      </w:r>
      <w:proofErr w:type="spellEnd"/>
      <w:r w:rsidRPr="002C53EA">
        <w:t xml:space="preserve">. zm.); </w:t>
      </w:r>
    </w:p>
    <w:p w14:paraId="11B38CBC" w14:textId="77777777" w:rsidR="00A62896" w:rsidRPr="002C53EA" w:rsidRDefault="00A62896" w:rsidP="00A62896">
      <w:pPr>
        <w:pStyle w:val="Tekstprzypisudolnego"/>
        <w:numPr>
          <w:ilvl w:val="0"/>
          <w:numId w:val="40"/>
        </w:numPr>
        <w:spacing w:before="120" w:after="120"/>
        <w:ind w:left="426" w:hanging="284"/>
      </w:pPr>
      <w:r w:rsidRPr="002C53EA">
        <w:t>ustawy z dnia 21 czerwca 2001 r. o ochronie praw lokatorów, mieszkaniowym zasobie gminy i o zmianie Kodeksu cywilnego (</w:t>
      </w:r>
      <w:proofErr w:type="spellStart"/>
      <w:r w:rsidRPr="002C53EA">
        <w:t>t.j</w:t>
      </w:r>
      <w:proofErr w:type="spellEnd"/>
      <w:r w:rsidRPr="002C53EA">
        <w:t>. Dz.U. z 201</w:t>
      </w:r>
      <w:r>
        <w:t>9</w:t>
      </w:r>
      <w:r w:rsidRPr="002C53EA">
        <w:t xml:space="preserve"> r., poz. 1</w:t>
      </w:r>
      <w:r>
        <w:t>182</w:t>
      </w:r>
      <w:r w:rsidRPr="002C53EA">
        <w:t xml:space="preserve">); </w:t>
      </w:r>
    </w:p>
    <w:p w14:paraId="302AB7BA" w14:textId="77777777" w:rsidR="00A62896" w:rsidRPr="002C53EA" w:rsidRDefault="00A62896" w:rsidP="00A62896">
      <w:pPr>
        <w:pStyle w:val="Tekstprzypisudolnego"/>
        <w:numPr>
          <w:ilvl w:val="0"/>
          <w:numId w:val="40"/>
        </w:numPr>
        <w:spacing w:before="120" w:after="120"/>
        <w:ind w:left="426" w:hanging="284"/>
      </w:pPr>
      <w:r w:rsidRPr="002C53EA">
        <w:t>ustawy z dnia 15 września 2000 r. Kodeks spółek handlowych (</w:t>
      </w:r>
      <w:proofErr w:type="spellStart"/>
      <w:r w:rsidRPr="002C53EA">
        <w:t>t.j</w:t>
      </w:r>
      <w:proofErr w:type="spellEnd"/>
      <w:r w:rsidRPr="002C53EA">
        <w:t>. Dz.U. 201</w:t>
      </w:r>
      <w:r>
        <w:t>9</w:t>
      </w:r>
      <w:r w:rsidRPr="002C53EA">
        <w:t xml:space="preserve">, poz. </w:t>
      </w:r>
      <w:r>
        <w:t>505</w:t>
      </w:r>
      <w:r w:rsidRPr="002C53EA">
        <w:t>) lub ustawy z dn. 16 września</w:t>
      </w:r>
      <w:r>
        <w:t xml:space="preserve"> </w:t>
      </w:r>
      <w:r w:rsidRPr="002C53EA">
        <w:t>1982 r. – Prawo spółdzielcze (</w:t>
      </w:r>
      <w:proofErr w:type="spellStart"/>
      <w:r w:rsidRPr="002C53EA">
        <w:t>t.j</w:t>
      </w:r>
      <w:proofErr w:type="spellEnd"/>
      <w:r w:rsidRPr="002C53EA">
        <w:t>. Dz.U. 201</w:t>
      </w:r>
      <w:r>
        <w:t>8</w:t>
      </w:r>
      <w:r w:rsidRPr="002C53EA">
        <w:t>, poz. 2</w:t>
      </w:r>
      <w:r>
        <w:t>1285 z poźn.zm.</w:t>
      </w:r>
      <w:r w:rsidRPr="002C53EA">
        <w:t xml:space="preserve">); </w:t>
      </w:r>
    </w:p>
    <w:p w14:paraId="71D73395" w14:textId="77777777" w:rsidR="00A62896" w:rsidRPr="002C53EA" w:rsidRDefault="00A62896" w:rsidP="00A62896">
      <w:pPr>
        <w:pStyle w:val="Tekstprzypisudolnego"/>
        <w:numPr>
          <w:ilvl w:val="0"/>
          <w:numId w:val="40"/>
        </w:numPr>
        <w:spacing w:before="120" w:after="120"/>
        <w:ind w:left="426" w:hanging="284"/>
      </w:pPr>
      <w:r w:rsidRPr="002C53EA">
        <w:t>ustawy z dnia 23 kwietnia 1964 r. Kodeks cywilny (</w:t>
      </w:r>
      <w:proofErr w:type="spellStart"/>
      <w:r w:rsidRPr="002C53EA">
        <w:t>t.j</w:t>
      </w:r>
      <w:proofErr w:type="spellEnd"/>
      <w:r w:rsidRPr="002C53EA">
        <w:t>. Dz.U.201</w:t>
      </w:r>
      <w:r>
        <w:t>9</w:t>
      </w:r>
      <w:r w:rsidRPr="002C53EA">
        <w:t xml:space="preserve">  , poz.</w:t>
      </w:r>
      <w:r>
        <w:t>1145</w:t>
      </w:r>
      <w:r w:rsidRPr="002C53EA">
        <w:t xml:space="preserve">); </w:t>
      </w:r>
    </w:p>
    <w:p w14:paraId="67E2D33D" w14:textId="77777777" w:rsidR="00A62896" w:rsidRPr="002C53EA" w:rsidRDefault="00A62896" w:rsidP="00A62896">
      <w:pPr>
        <w:pStyle w:val="Tekstprzypisudolnego"/>
        <w:numPr>
          <w:ilvl w:val="0"/>
          <w:numId w:val="40"/>
        </w:numPr>
        <w:spacing w:before="120" w:after="120"/>
        <w:ind w:left="426" w:hanging="284"/>
      </w:pPr>
      <w:r w:rsidRPr="002C53EA">
        <w:t>ustawy z dnia 20 grudnia 1996 r. o gospodarce komunalnej (</w:t>
      </w:r>
      <w:proofErr w:type="spellStart"/>
      <w:r w:rsidRPr="002C53EA">
        <w:t>t.j</w:t>
      </w:r>
      <w:proofErr w:type="spellEnd"/>
      <w:r w:rsidRPr="002C53EA">
        <w:t>. Dz.U. z 201</w:t>
      </w:r>
      <w:r>
        <w:t>9</w:t>
      </w:r>
      <w:r w:rsidRPr="002C53EA">
        <w:t xml:space="preserve"> r., poz.</w:t>
      </w:r>
      <w:r>
        <w:t xml:space="preserve"> 712</w:t>
      </w:r>
      <w:r w:rsidRPr="002C53EA">
        <w:t>).</w:t>
      </w:r>
    </w:p>
  </w:footnote>
  <w:footnote w:id="11">
    <w:p w14:paraId="4C1FCE00" w14:textId="77777777" w:rsidR="0090184F" w:rsidRPr="002C53EA" w:rsidRDefault="0090184F" w:rsidP="0090184F">
      <w:pPr>
        <w:pStyle w:val="Tekstprzypisudolnego"/>
        <w:tabs>
          <w:tab w:val="left" w:pos="567"/>
        </w:tabs>
        <w:spacing w:after="120"/>
        <w:ind w:left="142" w:hanging="142"/>
      </w:pPr>
      <w:r w:rsidRPr="002C53EA">
        <w:rPr>
          <w:rStyle w:val="Odwoanieprzypisudolnego"/>
        </w:rPr>
        <w:footnoteRef/>
      </w:r>
      <w:r w:rsidRPr="002C53EA">
        <w:t>W kontekście objęcia projektu pomocą publiczną należy rozpatrywać fakt czy Ostateczny Odbiorca spełnia definicję „przedsiębiorstwa” określoną w załączniku I do Rozporządzenia Komisji (UE) nr 651/2014.Przepisy o pomocy publicznej mają zastosowanie do przedsiębiorstw w rozumieniu unijnego prawa konkurencji tj. podmiotów prowadzących działalność gospodarczą, bez względu na status prawny i sposób finansowania. W każdym przypadku badanie statusu przedsiębiorstwa trzeba odnosić do konkretnej działalności danego podmiotu, który w pewnych sferach działalności może być uznawany za przedsiębiorstwo, natomiast w innych za podmiot nieprowadzący działalności gospodarczej.</w:t>
      </w:r>
    </w:p>
  </w:footnote>
  <w:footnote w:id="12">
    <w:p w14:paraId="7B2EB023" w14:textId="77777777" w:rsidR="0090184F" w:rsidRPr="002C53EA" w:rsidRDefault="0090184F" w:rsidP="0090184F">
      <w:pPr>
        <w:pStyle w:val="Tekstprzypisudolnego"/>
        <w:tabs>
          <w:tab w:val="left" w:pos="567"/>
        </w:tabs>
        <w:spacing w:after="120"/>
        <w:ind w:left="142" w:hanging="142"/>
      </w:pPr>
      <w:r w:rsidRPr="002C53EA">
        <w:rPr>
          <w:rStyle w:val="Odwoanieprzypisudolnego"/>
        </w:rPr>
        <w:footnoteRef/>
      </w:r>
      <w:r w:rsidRPr="002C53EA">
        <w:t xml:space="preserve"> Wkład własny Ostatecznego Odbiorcy – środki finansowe zabezpieczone przez Pożyczkobiorcę, które zostaną przeznaczone na pokrycie części kosztów kwalifikowalnych oraz kosztów niekwalifikowanych (jeżeli takie wystąpią).</w:t>
      </w:r>
    </w:p>
  </w:footnote>
  <w:footnote w:id="13">
    <w:p w14:paraId="49281C43" w14:textId="77777777" w:rsidR="0090184F" w:rsidRPr="002C53EA" w:rsidRDefault="0090184F" w:rsidP="0090184F">
      <w:pPr>
        <w:pStyle w:val="Tekstprzypisudolnego"/>
        <w:tabs>
          <w:tab w:val="left" w:pos="567"/>
        </w:tabs>
        <w:spacing w:after="120"/>
        <w:ind w:left="142" w:hanging="142"/>
      </w:pPr>
      <w:r w:rsidRPr="002C53EA">
        <w:rPr>
          <w:rStyle w:val="Odwoanieprzypisudolnego"/>
        </w:rPr>
        <w:footnoteRef/>
      </w:r>
      <w:r>
        <w:t xml:space="preserve">  Zgodnie z art. 16 ust. 6</w:t>
      </w:r>
      <w:r w:rsidRPr="002C53EA">
        <w:t xml:space="preserve"> Rozporządzenia Komisji (UE) NR 651/2014 z dnia 17 czerwca 2014 r. uznające niektóre rodzaje pomocy za zgodne z rynkiem wewnętrznym w zastosowaniu art. 107 i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9344" w14:textId="6C6A3128" w:rsidR="00DA1533" w:rsidRDefault="008C22E4" w:rsidP="00DA1533">
    <w:pPr>
      <w:pStyle w:val="Nagwek"/>
      <w:jc w:val="right"/>
      <w:rPr>
        <w:rFonts w:cs="Arial"/>
        <w:noProof/>
      </w:rPr>
    </w:pPr>
    <w:r w:rsidRPr="00850251">
      <w:rPr>
        <w:noProof/>
        <w:lang w:eastAsia="pl-PL"/>
      </w:rPr>
      <w:drawing>
        <wp:inline distT="0" distB="0" distL="0" distR="0" wp14:anchorId="5836E3D0" wp14:editId="711923D6">
          <wp:extent cx="885825" cy="638175"/>
          <wp:effectExtent l="0" t="0" r="9525" b="9525"/>
          <wp:docPr id="1" name="Obraz 1" descr="https://rpo.bgk.pl/files/public/Jeremie2/RPO/dymek_zol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s://rpo.bgk.pl/files/public/Jeremie2/RPO/dymek_zolt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38175"/>
                  </a:xfrm>
                  <a:prstGeom prst="rect">
                    <a:avLst/>
                  </a:prstGeom>
                  <a:noFill/>
                  <a:ln>
                    <a:noFill/>
                  </a:ln>
                </pic:spPr>
              </pic:pic>
            </a:graphicData>
          </a:graphic>
        </wp:inline>
      </w:drawing>
    </w:r>
    <w:r w:rsidR="00DA1533">
      <w:rPr>
        <w:rFonts w:cs="Arial"/>
        <w:noProof/>
      </w:rPr>
      <w:tab/>
    </w:r>
    <w:r w:rsidR="00DA1533">
      <w:rPr>
        <w:rFonts w:cs="Arial"/>
        <w:noProof/>
      </w:rPr>
      <w:tab/>
    </w:r>
    <w:r w:rsidRPr="009853BF">
      <w:rPr>
        <w:b/>
        <w:noProof/>
        <w:lang w:eastAsia="pl-PL"/>
      </w:rPr>
      <w:drawing>
        <wp:inline distT="0" distB="0" distL="0" distR="0" wp14:anchorId="40ECBA5A" wp14:editId="54B5DB0C">
          <wp:extent cx="971550" cy="504825"/>
          <wp:effectExtent l="0" t="0" r="0" b="9525"/>
          <wp:docPr id="3" name="Obraz 3" descr="Opis: C:\Documents and Settings\marcin.rebeta\Pulpit\marr-papi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pis: C:\Documents and Settings\marcin.rebeta\Pulpit\marr-papier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504825"/>
                  </a:xfrm>
                  <a:prstGeom prst="rect">
                    <a:avLst/>
                  </a:prstGeom>
                  <a:noFill/>
                  <a:ln>
                    <a:noFill/>
                  </a:ln>
                </pic:spPr>
              </pic:pic>
            </a:graphicData>
          </a:graphic>
        </wp:inline>
      </w:drawing>
    </w:r>
  </w:p>
  <w:p w14:paraId="54D55C43" w14:textId="77777777" w:rsidR="00DA1533" w:rsidRDefault="00DA1533" w:rsidP="00DA1533">
    <w:pPr>
      <w:pStyle w:val="Nagwek"/>
      <w:jc w:val="right"/>
      <w:rPr>
        <w:rFonts w:cs="Times New Roman"/>
        <w:b/>
        <w:bCs/>
        <w:color w:val="000000"/>
        <w:lang w:val="x-none"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266E"/>
    <w:multiLevelType w:val="hybridMultilevel"/>
    <w:tmpl w:val="B2528560"/>
    <w:lvl w:ilvl="0" w:tplc="9E16351A">
      <w:start w:val="1"/>
      <w:numFmt w:val="decimal"/>
      <w:lvlText w:val="%1."/>
      <w:lvlJc w:val="left"/>
      <w:pPr>
        <w:tabs>
          <w:tab w:val="num" w:pos="717"/>
        </w:tabs>
        <w:ind w:left="717" w:hanging="357"/>
      </w:pPr>
      <w:rPr>
        <w:rFonts w:ascii="Times New Roman" w:hAnsi="Times New Roman" w:hint="default"/>
        <w:b w:val="0"/>
        <w:i w:val="0"/>
        <w:sz w:val="22"/>
      </w:rPr>
    </w:lvl>
    <w:lvl w:ilvl="1" w:tplc="234C911A">
      <w:start w:val="6"/>
      <w:numFmt w:val="upperRoman"/>
      <w:lvlText w:val="%2."/>
      <w:lvlJc w:val="left"/>
      <w:pPr>
        <w:tabs>
          <w:tab w:val="num" w:pos="-363"/>
        </w:tabs>
        <w:ind w:left="-363" w:hanging="357"/>
      </w:pPr>
      <w:rPr>
        <w:rFonts w:ascii="Thorndale AMT" w:hAnsi="Thorndale AMT" w:hint="default"/>
        <w:b/>
        <w:i w:val="0"/>
        <w:sz w:val="22"/>
      </w:rPr>
    </w:lvl>
    <w:lvl w:ilvl="2" w:tplc="0415001B" w:tentative="1">
      <w:start w:val="1"/>
      <w:numFmt w:val="lowerRoman"/>
      <w:lvlText w:val="%3."/>
      <w:lvlJc w:val="right"/>
      <w:pPr>
        <w:tabs>
          <w:tab w:val="num" w:pos="360"/>
        </w:tabs>
        <w:ind w:left="360" w:hanging="180"/>
      </w:pPr>
    </w:lvl>
    <w:lvl w:ilvl="3" w:tplc="0415000F" w:tentative="1">
      <w:start w:val="1"/>
      <w:numFmt w:val="decimal"/>
      <w:lvlText w:val="%4."/>
      <w:lvlJc w:val="left"/>
      <w:pPr>
        <w:tabs>
          <w:tab w:val="num" w:pos="1080"/>
        </w:tabs>
        <w:ind w:left="1080" w:hanging="360"/>
      </w:pPr>
    </w:lvl>
    <w:lvl w:ilvl="4" w:tplc="04150019" w:tentative="1">
      <w:start w:val="1"/>
      <w:numFmt w:val="lowerLetter"/>
      <w:lvlText w:val="%5."/>
      <w:lvlJc w:val="left"/>
      <w:pPr>
        <w:tabs>
          <w:tab w:val="num" w:pos="1800"/>
        </w:tabs>
        <w:ind w:left="1800" w:hanging="360"/>
      </w:pPr>
    </w:lvl>
    <w:lvl w:ilvl="5" w:tplc="0415001B" w:tentative="1">
      <w:start w:val="1"/>
      <w:numFmt w:val="lowerRoman"/>
      <w:lvlText w:val="%6."/>
      <w:lvlJc w:val="right"/>
      <w:pPr>
        <w:tabs>
          <w:tab w:val="num" w:pos="2520"/>
        </w:tabs>
        <w:ind w:left="2520" w:hanging="180"/>
      </w:pPr>
    </w:lvl>
    <w:lvl w:ilvl="6" w:tplc="0415000F" w:tentative="1">
      <w:start w:val="1"/>
      <w:numFmt w:val="decimal"/>
      <w:lvlText w:val="%7."/>
      <w:lvlJc w:val="left"/>
      <w:pPr>
        <w:tabs>
          <w:tab w:val="num" w:pos="3240"/>
        </w:tabs>
        <w:ind w:left="3240" w:hanging="360"/>
      </w:pPr>
    </w:lvl>
    <w:lvl w:ilvl="7" w:tplc="04150019" w:tentative="1">
      <w:start w:val="1"/>
      <w:numFmt w:val="lowerLetter"/>
      <w:lvlText w:val="%8."/>
      <w:lvlJc w:val="left"/>
      <w:pPr>
        <w:tabs>
          <w:tab w:val="num" w:pos="3960"/>
        </w:tabs>
        <w:ind w:left="3960" w:hanging="360"/>
      </w:pPr>
    </w:lvl>
    <w:lvl w:ilvl="8" w:tplc="0415001B" w:tentative="1">
      <w:start w:val="1"/>
      <w:numFmt w:val="lowerRoman"/>
      <w:lvlText w:val="%9."/>
      <w:lvlJc w:val="right"/>
      <w:pPr>
        <w:tabs>
          <w:tab w:val="num" w:pos="4680"/>
        </w:tabs>
        <w:ind w:left="4680" w:hanging="180"/>
      </w:pPr>
    </w:lvl>
  </w:abstractNum>
  <w:abstractNum w:abstractNumId="1" w15:restartNumberingAfterBreak="0">
    <w:nsid w:val="0463065F"/>
    <w:multiLevelType w:val="hybridMultilevel"/>
    <w:tmpl w:val="9A0EA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665A50"/>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8CD53D5"/>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756C26"/>
    <w:multiLevelType w:val="multilevel"/>
    <w:tmpl w:val="AF60AA0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BC46B6"/>
    <w:multiLevelType w:val="hybridMultilevel"/>
    <w:tmpl w:val="FB9E6DAA"/>
    <w:lvl w:ilvl="0" w:tplc="81563F7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E05B30"/>
    <w:multiLevelType w:val="hybridMultilevel"/>
    <w:tmpl w:val="07A0E20A"/>
    <w:lvl w:ilvl="0" w:tplc="3AB239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0EE6FC1"/>
    <w:multiLevelType w:val="hybridMultilevel"/>
    <w:tmpl w:val="0F9AE364"/>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243A7D64"/>
    <w:multiLevelType w:val="hybridMultilevel"/>
    <w:tmpl w:val="B336D3A4"/>
    <w:lvl w:ilvl="0" w:tplc="477A6EE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4D64D23"/>
    <w:multiLevelType w:val="hybridMultilevel"/>
    <w:tmpl w:val="E88CCC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6BD642C"/>
    <w:multiLevelType w:val="hybridMultilevel"/>
    <w:tmpl w:val="84A42DB2"/>
    <w:lvl w:ilvl="0" w:tplc="609CAD7A">
      <w:start w:val="1"/>
      <w:numFmt w:val="decimal"/>
      <w:lvlText w:val="%1."/>
      <w:lvlJc w:val="left"/>
      <w:pPr>
        <w:ind w:left="720" w:hanging="360"/>
      </w:pPr>
      <w:rPr>
        <w:rFonts w:hint="default"/>
        <w:b w:val="0"/>
      </w:rPr>
    </w:lvl>
    <w:lvl w:ilvl="1" w:tplc="E5DE083A">
      <w:start w:val="1"/>
      <w:numFmt w:val="lowerLetter"/>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B927DB"/>
    <w:multiLevelType w:val="hybridMultilevel"/>
    <w:tmpl w:val="64B4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F62625"/>
    <w:multiLevelType w:val="hybridMultilevel"/>
    <w:tmpl w:val="C61CDD6C"/>
    <w:lvl w:ilvl="0" w:tplc="745A38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4D76A89"/>
    <w:multiLevelType w:val="hybridMultilevel"/>
    <w:tmpl w:val="472AA7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AC78D3"/>
    <w:multiLevelType w:val="hybridMultilevel"/>
    <w:tmpl w:val="EE6C540A"/>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A7017E8"/>
    <w:multiLevelType w:val="hybridMultilevel"/>
    <w:tmpl w:val="02480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EAC7CFD"/>
    <w:multiLevelType w:val="hybridMultilevel"/>
    <w:tmpl w:val="956021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26316DC"/>
    <w:multiLevelType w:val="hybridMultilevel"/>
    <w:tmpl w:val="BEE8503C"/>
    <w:lvl w:ilvl="0" w:tplc="7396B312">
      <w:start w:val="1"/>
      <w:numFmt w:val="decimal"/>
      <w:lvlText w:val="%1."/>
      <w:lvlJc w:val="left"/>
      <w:pPr>
        <w:ind w:left="360" w:hanging="360"/>
      </w:pPr>
      <w:rPr>
        <w:rFonts w:cs="Calibri"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CC012A"/>
    <w:multiLevelType w:val="multilevel"/>
    <w:tmpl w:val="94FE438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81A55E6"/>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B802E4C"/>
    <w:multiLevelType w:val="hybridMultilevel"/>
    <w:tmpl w:val="64B4C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2E468C"/>
    <w:multiLevelType w:val="hybridMultilevel"/>
    <w:tmpl w:val="4948BA9E"/>
    <w:lvl w:ilvl="0" w:tplc="204A29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DAA4639"/>
    <w:multiLevelType w:val="hybridMultilevel"/>
    <w:tmpl w:val="11EE30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3A5240"/>
    <w:multiLevelType w:val="hybridMultilevel"/>
    <w:tmpl w:val="351844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24171"/>
    <w:multiLevelType w:val="hybridMultilevel"/>
    <w:tmpl w:val="A04ABE9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50C7C42"/>
    <w:multiLevelType w:val="hybridMultilevel"/>
    <w:tmpl w:val="9E1C37C0"/>
    <w:lvl w:ilvl="0" w:tplc="04150017">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6" w15:restartNumberingAfterBreak="0">
    <w:nsid w:val="59281A06"/>
    <w:multiLevelType w:val="hybridMultilevel"/>
    <w:tmpl w:val="E84C64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056390"/>
    <w:multiLevelType w:val="hybridMultilevel"/>
    <w:tmpl w:val="2C7E380A"/>
    <w:lvl w:ilvl="0" w:tplc="4D6EF7C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1EF5352"/>
    <w:multiLevelType w:val="hybridMultilevel"/>
    <w:tmpl w:val="683A196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632375EC"/>
    <w:multiLevelType w:val="hybridMultilevel"/>
    <w:tmpl w:val="04B4DC36"/>
    <w:lvl w:ilvl="0" w:tplc="75D2807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3822EFB"/>
    <w:multiLevelType w:val="hybridMultilevel"/>
    <w:tmpl w:val="09FC4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5D745A0"/>
    <w:multiLevelType w:val="hybridMultilevel"/>
    <w:tmpl w:val="E1D896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0D3C6D"/>
    <w:multiLevelType w:val="hybridMultilevel"/>
    <w:tmpl w:val="CED07D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5453F8"/>
    <w:multiLevelType w:val="hybridMultilevel"/>
    <w:tmpl w:val="5968573A"/>
    <w:lvl w:ilvl="0" w:tplc="78AE3ED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576886"/>
    <w:multiLevelType w:val="hybridMultilevel"/>
    <w:tmpl w:val="BC86040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1522241"/>
    <w:multiLevelType w:val="hybridMultilevel"/>
    <w:tmpl w:val="8EF4B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3E572A3"/>
    <w:multiLevelType w:val="hybridMultilevel"/>
    <w:tmpl w:val="9312A406"/>
    <w:lvl w:ilvl="0" w:tplc="F36C2928">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66D7556"/>
    <w:multiLevelType w:val="hybridMultilevel"/>
    <w:tmpl w:val="6C242E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76D52897"/>
    <w:multiLevelType w:val="hybridMultilevel"/>
    <w:tmpl w:val="59DE0194"/>
    <w:lvl w:ilvl="0" w:tplc="75D2807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7B55327C"/>
    <w:multiLevelType w:val="hybridMultilevel"/>
    <w:tmpl w:val="304ADC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95B48"/>
    <w:multiLevelType w:val="hybridMultilevel"/>
    <w:tmpl w:val="32369870"/>
    <w:lvl w:ilvl="0" w:tplc="FED026E8">
      <w:start w:val="1"/>
      <w:numFmt w:val="upperRoman"/>
      <w:lvlText w:val="%1."/>
      <w:lvlJc w:val="left"/>
      <w:pPr>
        <w:tabs>
          <w:tab w:val="num" w:pos="357"/>
        </w:tabs>
        <w:ind w:left="357" w:hanging="357"/>
      </w:pPr>
      <w:rPr>
        <w:rFonts w:ascii="Thorndale AMT" w:hAnsi="Thorndale AMT" w:hint="default"/>
        <w:b/>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D00B5E"/>
    <w:multiLevelType w:val="hybridMultilevel"/>
    <w:tmpl w:val="6A247B40"/>
    <w:lvl w:ilvl="0" w:tplc="DB086A0A">
      <w:start w:val="1"/>
      <w:numFmt w:val="lowerLetter"/>
      <w:lvlText w:val="%1)"/>
      <w:lvlJc w:val="left"/>
      <w:pPr>
        <w:ind w:left="862" w:hanging="360"/>
      </w:pPr>
      <w:rPr>
        <w:rFonts w:hint="default"/>
        <w:i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2" w15:restartNumberingAfterBreak="0">
    <w:nsid w:val="7EE73BF0"/>
    <w:multiLevelType w:val="hybridMultilevel"/>
    <w:tmpl w:val="415025AE"/>
    <w:lvl w:ilvl="0" w:tplc="B88091E2">
      <w:start w:val="1"/>
      <w:numFmt w:val="decimal"/>
      <w:lvlText w:val="%1."/>
      <w:lvlJc w:val="left"/>
      <w:pPr>
        <w:ind w:left="502" w:hanging="360"/>
      </w:pPr>
      <w:rPr>
        <w:rFonts w:asciiTheme="minorHAnsi" w:eastAsiaTheme="minorHAnsi" w:hAnsiTheme="minorHAnsi"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4"/>
  </w:num>
  <w:num w:numId="3">
    <w:abstractNumId w:val="0"/>
  </w:num>
  <w:num w:numId="4">
    <w:abstractNumId w:val="13"/>
  </w:num>
  <w:num w:numId="5">
    <w:abstractNumId w:val="26"/>
  </w:num>
  <w:num w:numId="6">
    <w:abstractNumId w:val="31"/>
  </w:num>
  <w:num w:numId="7">
    <w:abstractNumId w:val="25"/>
  </w:num>
  <w:num w:numId="8">
    <w:abstractNumId w:val="22"/>
  </w:num>
  <w:num w:numId="9">
    <w:abstractNumId w:val="32"/>
  </w:num>
  <w:num w:numId="10">
    <w:abstractNumId w:val="40"/>
  </w:num>
  <w:num w:numId="11">
    <w:abstractNumId w:val="5"/>
  </w:num>
  <w:num w:numId="12">
    <w:abstractNumId w:val="39"/>
  </w:num>
  <w:num w:numId="13">
    <w:abstractNumId w:val="27"/>
  </w:num>
  <w:num w:numId="14">
    <w:abstractNumId w:val="11"/>
  </w:num>
  <w:num w:numId="15">
    <w:abstractNumId w:val="8"/>
  </w:num>
  <w:num w:numId="16">
    <w:abstractNumId w:val="28"/>
  </w:num>
  <w:num w:numId="17">
    <w:abstractNumId w:val="37"/>
  </w:num>
  <w:num w:numId="18">
    <w:abstractNumId w:val="35"/>
  </w:num>
  <w:num w:numId="19">
    <w:abstractNumId w:val="16"/>
  </w:num>
  <w:num w:numId="20">
    <w:abstractNumId w:val="23"/>
  </w:num>
  <w:num w:numId="21">
    <w:abstractNumId w:val="19"/>
  </w:num>
  <w:num w:numId="22">
    <w:abstractNumId w:val="12"/>
  </w:num>
  <w:num w:numId="23">
    <w:abstractNumId w:val="3"/>
  </w:num>
  <w:num w:numId="24">
    <w:abstractNumId w:val="20"/>
  </w:num>
  <w:num w:numId="25">
    <w:abstractNumId w:val="2"/>
  </w:num>
  <w:num w:numId="26">
    <w:abstractNumId w:val="30"/>
  </w:num>
  <w:num w:numId="27">
    <w:abstractNumId w:val="9"/>
  </w:num>
  <w:num w:numId="28">
    <w:abstractNumId w:val="21"/>
  </w:num>
  <w:num w:numId="29">
    <w:abstractNumId w:val="33"/>
  </w:num>
  <w:num w:numId="30">
    <w:abstractNumId w:val="29"/>
  </w:num>
  <w:num w:numId="31">
    <w:abstractNumId w:val="15"/>
  </w:num>
  <w:num w:numId="32">
    <w:abstractNumId w:val="38"/>
  </w:num>
  <w:num w:numId="33">
    <w:abstractNumId w:val="7"/>
  </w:num>
  <w:num w:numId="34">
    <w:abstractNumId w:val="24"/>
  </w:num>
  <w:num w:numId="35">
    <w:abstractNumId w:val="18"/>
  </w:num>
  <w:num w:numId="36">
    <w:abstractNumId w:val="17"/>
  </w:num>
  <w:num w:numId="37">
    <w:abstractNumId w:val="4"/>
  </w:num>
  <w:num w:numId="38">
    <w:abstractNumId w:val="10"/>
  </w:num>
  <w:num w:numId="39">
    <w:abstractNumId w:val="6"/>
  </w:num>
  <w:num w:numId="40">
    <w:abstractNumId w:val="36"/>
  </w:num>
  <w:num w:numId="41">
    <w:abstractNumId w:val="14"/>
  </w:num>
  <w:num w:numId="42">
    <w:abstractNumId w:val="4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3476"/>
    <w:rsid w:val="00004BAA"/>
    <w:rsid w:val="00013256"/>
    <w:rsid w:val="00023B04"/>
    <w:rsid w:val="00024080"/>
    <w:rsid w:val="00055219"/>
    <w:rsid w:val="000710BD"/>
    <w:rsid w:val="00097D21"/>
    <w:rsid w:val="000B2707"/>
    <w:rsid w:val="000B60CD"/>
    <w:rsid w:val="000C1D62"/>
    <w:rsid w:val="000C3F38"/>
    <w:rsid w:val="000C42CE"/>
    <w:rsid w:val="000E11F1"/>
    <w:rsid w:val="000F0392"/>
    <w:rsid w:val="00112915"/>
    <w:rsid w:val="0012340D"/>
    <w:rsid w:val="00130E21"/>
    <w:rsid w:val="00143B24"/>
    <w:rsid w:val="001458FD"/>
    <w:rsid w:val="001465A3"/>
    <w:rsid w:val="00177BFD"/>
    <w:rsid w:val="00192DD1"/>
    <w:rsid w:val="00195DD0"/>
    <w:rsid w:val="001B152A"/>
    <w:rsid w:val="001B440A"/>
    <w:rsid w:val="001D353E"/>
    <w:rsid w:val="001F0850"/>
    <w:rsid w:val="001F1E1B"/>
    <w:rsid w:val="001F499D"/>
    <w:rsid w:val="00216CDB"/>
    <w:rsid w:val="00220E6E"/>
    <w:rsid w:val="002341C7"/>
    <w:rsid w:val="00242BE0"/>
    <w:rsid w:val="00243BEF"/>
    <w:rsid w:val="00257186"/>
    <w:rsid w:val="002612FF"/>
    <w:rsid w:val="002737AE"/>
    <w:rsid w:val="00281BE7"/>
    <w:rsid w:val="00286687"/>
    <w:rsid w:val="00286819"/>
    <w:rsid w:val="002B6A7C"/>
    <w:rsid w:val="002C097C"/>
    <w:rsid w:val="002C1D6A"/>
    <w:rsid w:val="002C600C"/>
    <w:rsid w:val="002D1C48"/>
    <w:rsid w:val="002E0530"/>
    <w:rsid w:val="002E1AFA"/>
    <w:rsid w:val="00303756"/>
    <w:rsid w:val="003077F0"/>
    <w:rsid w:val="0031356C"/>
    <w:rsid w:val="00325D75"/>
    <w:rsid w:val="003408A3"/>
    <w:rsid w:val="00346CB0"/>
    <w:rsid w:val="003562D8"/>
    <w:rsid w:val="00357EB2"/>
    <w:rsid w:val="00375439"/>
    <w:rsid w:val="0038795D"/>
    <w:rsid w:val="003C1B34"/>
    <w:rsid w:val="003C5575"/>
    <w:rsid w:val="003E4B31"/>
    <w:rsid w:val="003E578E"/>
    <w:rsid w:val="00417A9B"/>
    <w:rsid w:val="00432444"/>
    <w:rsid w:val="00441208"/>
    <w:rsid w:val="00486BD1"/>
    <w:rsid w:val="00487DB3"/>
    <w:rsid w:val="00487E6B"/>
    <w:rsid w:val="004C6971"/>
    <w:rsid w:val="004D669A"/>
    <w:rsid w:val="004D6CDD"/>
    <w:rsid w:val="004E1BF1"/>
    <w:rsid w:val="004E6364"/>
    <w:rsid w:val="004F4478"/>
    <w:rsid w:val="00511011"/>
    <w:rsid w:val="00515136"/>
    <w:rsid w:val="00532FE4"/>
    <w:rsid w:val="0055197A"/>
    <w:rsid w:val="00551C05"/>
    <w:rsid w:val="00560B36"/>
    <w:rsid w:val="005719A4"/>
    <w:rsid w:val="005762B7"/>
    <w:rsid w:val="00594AE4"/>
    <w:rsid w:val="005A41DA"/>
    <w:rsid w:val="005B2ECD"/>
    <w:rsid w:val="005B5A6E"/>
    <w:rsid w:val="005C057F"/>
    <w:rsid w:val="005E7890"/>
    <w:rsid w:val="005E79B9"/>
    <w:rsid w:val="005F3EAE"/>
    <w:rsid w:val="005F4AA7"/>
    <w:rsid w:val="005F7B39"/>
    <w:rsid w:val="005F7DC2"/>
    <w:rsid w:val="00610C31"/>
    <w:rsid w:val="00614CDD"/>
    <w:rsid w:val="00623E3E"/>
    <w:rsid w:val="006265B3"/>
    <w:rsid w:val="00634424"/>
    <w:rsid w:val="006344E6"/>
    <w:rsid w:val="00634BB7"/>
    <w:rsid w:val="00636B37"/>
    <w:rsid w:val="00643AB7"/>
    <w:rsid w:val="00644CFD"/>
    <w:rsid w:val="00651784"/>
    <w:rsid w:val="0065711C"/>
    <w:rsid w:val="00671C14"/>
    <w:rsid w:val="00672E84"/>
    <w:rsid w:val="00675EC4"/>
    <w:rsid w:val="0068016C"/>
    <w:rsid w:val="006839E1"/>
    <w:rsid w:val="006856FE"/>
    <w:rsid w:val="00685F1A"/>
    <w:rsid w:val="0069098E"/>
    <w:rsid w:val="006B26B1"/>
    <w:rsid w:val="006C05FC"/>
    <w:rsid w:val="006C69EF"/>
    <w:rsid w:val="006D1BB3"/>
    <w:rsid w:val="006E3D31"/>
    <w:rsid w:val="006E6C0F"/>
    <w:rsid w:val="006F5AB8"/>
    <w:rsid w:val="007133F1"/>
    <w:rsid w:val="007153D4"/>
    <w:rsid w:val="00722AEC"/>
    <w:rsid w:val="00730601"/>
    <w:rsid w:val="007418CD"/>
    <w:rsid w:val="00744A05"/>
    <w:rsid w:val="0075044C"/>
    <w:rsid w:val="007678C3"/>
    <w:rsid w:val="00793B17"/>
    <w:rsid w:val="007A3B55"/>
    <w:rsid w:val="007E4E8D"/>
    <w:rsid w:val="007F3476"/>
    <w:rsid w:val="007F762C"/>
    <w:rsid w:val="00817FA8"/>
    <w:rsid w:val="00835117"/>
    <w:rsid w:val="00851171"/>
    <w:rsid w:val="00854DE4"/>
    <w:rsid w:val="0087543C"/>
    <w:rsid w:val="00875729"/>
    <w:rsid w:val="00887B91"/>
    <w:rsid w:val="00890ECA"/>
    <w:rsid w:val="00894447"/>
    <w:rsid w:val="00895AA8"/>
    <w:rsid w:val="00897B41"/>
    <w:rsid w:val="008A7A8D"/>
    <w:rsid w:val="008C22E4"/>
    <w:rsid w:val="008C3E59"/>
    <w:rsid w:val="008D3636"/>
    <w:rsid w:val="008D40C3"/>
    <w:rsid w:val="008D6546"/>
    <w:rsid w:val="008D7DD7"/>
    <w:rsid w:val="008F1716"/>
    <w:rsid w:val="008F6C50"/>
    <w:rsid w:val="0090184F"/>
    <w:rsid w:val="00905033"/>
    <w:rsid w:val="009321EF"/>
    <w:rsid w:val="00932B5D"/>
    <w:rsid w:val="009505B7"/>
    <w:rsid w:val="00951184"/>
    <w:rsid w:val="0096179F"/>
    <w:rsid w:val="009670AB"/>
    <w:rsid w:val="009674CB"/>
    <w:rsid w:val="0098172F"/>
    <w:rsid w:val="0098437E"/>
    <w:rsid w:val="0098739F"/>
    <w:rsid w:val="00987B33"/>
    <w:rsid w:val="00990650"/>
    <w:rsid w:val="009A1193"/>
    <w:rsid w:val="009B44EA"/>
    <w:rsid w:val="009D5EA3"/>
    <w:rsid w:val="009F1B63"/>
    <w:rsid w:val="009F4435"/>
    <w:rsid w:val="00A1317B"/>
    <w:rsid w:val="00A17609"/>
    <w:rsid w:val="00A21B2D"/>
    <w:rsid w:val="00A238D1"/>
    <w:rsid w:val="00A24218"/>
    <w:rsid w:val="00A34E7D"/>
    <w:rsid w:val="00A36964"/>
    <w:rsid w:val="00A40AF0"/>
    <w:rsid w:val="00A51C14"/>
    <w:rsid w:val="00A52321"/>
    <w:rsid w:val="00A542FC"/>
    <w:rsid w:val="00A543DB"/>
    <w:rsid w:val="00A62896"/>
    <w:rsid w:val="00A70F8D"/>
    <w:rsid w:val="00A75226"/>
    <w:rsid w:val="00AA1717"/>
    <w:rsid w:val="00AB34F1"/>
    <w:rsid w:val="00AB48B4"/>
    <w:rsid w:val="00AC4D87"/>
    <w:rsid w:val="00AD2E51"/>
    <w:rsid w:val="00AD4613"/>
    <w:rsid w:val="00AE1252"/>
    <w:rsid w:val="00AE2F50"/>
    <w:rsid w:val="00AE7DAF"/>
    <w:rsid w:val="00AF39A9"/>
    <w:rsid w:val="00B036B0"/>
    <w:rsid w:val="00B11FB4"/>
    <w:rsid w:val="00B24BA7"/>
    <w:rsid w:val="00B45306"/>
    <w:rsid w:val="00B77E7B"/>
    <w:rsid w:val="00B81346"/>
    <w:rsid w:val="00B904C3"/>
    <w:rsid w:val="00B90701"/>
    <w:rsid w:val="00B966A6"/>
    <w:rsid w:val="00B9796C"/>
    <w:rsid w:val="00BA3860"/>
    <w:rsid w:val="00BB28F7"/>
    <w:rsid w:val="00BB66EA"/>
    <w:rsid w:val="00BD677F"/>
    <w:rsid w:val="00C02D1A"/>
    <w:rsid w:val="00C040E3"/>
    <w:rsid w:val="00C47D98"/>
    <w:rsid w:val="00C55797"/>
    <w:rsid w:val="00C94198"/>
    <w:rsid w:val="00C94EEB"/>
    <w:rsid w:val="00CB0854"/>
    <w:rsid w:val="00CC1E53"/>
    <w:rsid w:val="00CE1D2A"/>
    <w:rsid w:val="00CE36D6"/>
    <w:rsid w:val="00D00D62"/>
    <w:rsid w:val="00D06864"/>
    <w:rsid w:val="00D30604"/>
    <w:rsid w:val="00D40685"/>
    <w:rsid w:val="00D41189"/>
    <w:rsid w:val="00D54BF0"/>
    <w:rsid w:val="00D5516D"/>
    <w:rsid w:val="00D55B08"/>
    <w:rsid w:val="00D60295"/>
    <w:rsid w:val="00D6349E"/>
    <w:rsid w:val="00D74946"/>
    <w:rsid w:val="00D82267"/>
    <w:rsid w:val="00D904DE"/>
    <w:rsid w:val="00D94AF1"/>
    <w:rsid w:val="00D95379"/>
    <w:rsid w:val="00D954C3"/>
    <w:rsid w:val="00D97F00"/>
    <w:rsid w:val="00DA1533"/>
    <w:rsid w:val="00DB1308"/>
    <w:rsid w:val="00DC3B99"/>
    <w:rsid w:val="00DE57E0"/>
    <w:rsid w:val="00DF4B46"/>
    <w:rsid w:val="00E132AD"/>
    <w:rsid w:val="00E20A87"/>
    <w:rsid w:val="00E572A7"/>
    <w:rsid w:val="00E9225B"/>
    <w:rsid w:val="00EB2075"/>
    <w:rsid w:val="00EB696A"/>
    <w:rsid w:val="00EC07BB"/>
    <w:rsid w:val="00EC3622"/>
    <w:rsid w:val="00ED0861"/>
    <w:rsid w:val="00ED33BE"/>
    <w:rsid w:val="00EE07F6"/>
    <w:rsid w:val="00EE2193"/>
    <w:rsid w:val="00EE7D30"/>
    <w:rsid w:val="00EF5F4D"/>
    <w:rsid w:val="00F0345E"/>
    <w:rsid w:val="00F17A5A"/>
    <w:rsid w:val="00F17E4D"/>
    <w:rsid w:val="00F25628"/>
    <w:rsid w:val="00F348B2"/>
    <w:rsid w:val="00F444E2"/>
    <w:rsid w:val="00F501FA"/>
    <w:rsid w:val="00F53C52"/>
    <w:rsid w:val="00F57684"/>
    <w:rsid w:val="00F60DBF"/>
    <w:rsid w:val="00F7735E"/>
    <w:rsid w:val="00F83828"/>
    <w:rsid w:val="00F84B8F"/>
    <w:rsid w:val="00F854F4"/>
    <w:rsid w:val="00F92B94"/>
    <w:rsid w:val="00FB10B5"/>
    <w:rsid w:val="00FB1880"/>
    <w:rsid w:val="00FB2DCE"/>
    <w:rsid w:val="00FC01ED"/>
    <w:rsid w:val="00FD1A3D"/>
    <w:rsid w:val="00FD2C5B"/>
    <w:rsid w:val="00FF1CAB"/>
    <w:rsid w:val="00FF2173"/>
    <w:rsid w:val="00FF2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D137"/>
  <w15:docId w15:val="{F94CC7D6-219B-4BF2-B79C-8795CFD1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semiHidden/>
    <w:unhideWhenUsed/>
    <w:rsid w:val="00CE36D6"/>
    <w:rPr>
      <w:sz w:val="16"/>
      <w:szCs w:val="16"/>
    </w:rPr>
  </w:style>
  <w:style w:type="paragraph" w:styleId="Tekstkomentarza">
    <w:name w:val="annotation text"/>
    <w:basedOn w:val="Normalny"/>
    <w:link w:val="TekstkomentarzaZnak"/>
    <w:uiPriority w:val="99"/>
    <w:semiHidden/>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footnote text"/>
    <w:basedOn w:val="Normalny"/>
    <w:link w:val="TekstprzypisudolnegoZnak"/>
    <w:uiPriority w:val="99"/>
    <w:unhideWhenUsed/>
    <w:rsid w:val="00BA3860"/>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rsid w:val="00BA3860"/>
    <w:rPr>
      <w:sz w:val="20"/>
      <w:szCs w:val="20"/>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iPriority w:val="99"/>
    <w:unhideWhenUsed/>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3E4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B31"/>
  </w:style>
  <w:style w:type="paragraph" w:styleId="Stopka">
    <w:name w:val="footer"/>
    <w:basedOn w:val="Normalny"/>
    <w:link w:val="StopkaZnak"/>
    <w:uiPriority w:val="99"/>
    <w:unhideWhenUsed/>
    <w:rsid w:val="003E4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B31"/>
  </w:style>
  <w:style w:type="character" w:customStyle="1" w:styleId="AkapitzlistZnak">
    <w:name w:val="Akapit z listą Znak"/>
    <w:link w:val="Akapitzlist"/>
    <w:uiPriority w:val="34"/>
    <w:locked/>
    <w:rsid w:val="00112915"/>
  </w:style>
  <w:style w:type="character" w:customStyle="1" w:styleId="NagwekZnak1">
    <w:name w:val="Nagłówek Znak1"/>
    <w:basedOn w:val="Domylnaczcionkaakapitu"/>
    <w:uiPriority w:val="99"/>
    <w:semiHidden/>
    <w:locked/>
    <w:rsid w:val="00DA1533"/>
    <w:rPr>
      <w:rFonts w:ascii="Arial" w:eastAsia="Calibri" w:hAnsi="Arial" w:cs="Times New Roman"/>
      <w:sz w:val="20"/>
      <w:szCs w:val="20"/>
      <w:lang w:eastAsia="pl-PL"/>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Tekst przypisu Znak Znak Znak Znak Znak"/>
    <w:basedOn w:val="Domylnaczcionkaakapitu"/>
    <w:uiPriority w:val="99"/>
    <w:locked/>
    <w:rsid w:val="00CE1D2A"/>
    <w:rPr>
      <w:rFonts w:ascii="Arial" w:eastAsia="Calibri" w:hAnsi="Arial"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78359">
      <w:bodyDiv w:val="1"/>
      <w:marLeft w:val="0"/>
      <w:marRight w:val="0"/>
      <w:marTop w:val="0"/>
      <w:marBottom w:val="0"/>
      <w:divBdr>
        <w:top w:val="none" w:sz="0" w:space="0" w:color="auto"/>
        <w:left w:val="none" w:sz="0" w:space="0" w:color="auto"/>
        <w:bottom w:val="none" w:sz="0" w:space="0" w:color="auto"/>
        <w:right w:val="none" w:sz="0" w:space="0" w:color="auto"/>
      </w:divBdr>
    </w:div>
    <w:div w:id="1102140998">
      <w:bodyDiv w:val="1"/>
      <w:marLeft w:val="0"/>
      <w:marRight w:val="0"/>
      <w:marTop w:val="0"/>
      <w:marBottom w:val="0"/>
      <w:divBdr>
        <w:top w:val="none" w:sz="0" w:space="0" w:color="auto"/>
        <w:left w:val="none" w:sz="0" w:space="0" w:color="auto"/>
        <w:bottom w:val="none" w:sz="0" w:space="0" w:color="auto"/>
        <w:right w:val="none" w:sz="0" w:space="0" w:color="auto"/>
      </w:divBdr>
    </w:div>
    <w:div w:id="16878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power.gov.pl/dostepnos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FB3B-95C8-423D-8008-51C99180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2100</Words>
  <Characters>12600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Baczewski, Jacek</dc:creator>
  <cp:lastModifiedBy>Rafał Wdowicz</cp:lastModifiedBy>
  <cp:revision>5</cp:revision>
  <cp:lastPrinted>2019-09-25T06:38:00Z</cp:lastPrinted>
  <dcterms:created xsi:type="dcterms:W3CDTF">2021-02-16T09:03:00Z</dcterms:created>
  <dcterms:modified xsi:type="dcterms:W3CDTF">2021-02-16T10:26:00Z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Krzysztof.Lesniak@bgk.pl</vt:lpwstr>
  </property>
  <property fmtid="{D5CDD505-2E9C-101B-9397-08002B2CF9AE}" pid="5" name="MSIP_Label_ffd642cb-f5ac-4f9c-8f91-3377ed972e0d_SetDate">
    <vt:lpwstr>2019-04-29T14:16:59.9516635Z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iteId">
    <vt:lpwstr>29bb5b9c-200a-4906-89ef-c651c86ab301</vt:lpwstr>
  </property>
  <property fmtid="{D5CDD505-2E9C-101B-9397-08002B2CF9AE}" pid="11" name="MSIP_Label_c668bcff-e2d1-47e2-adc1-b3354af02961_Owner">
    <vt:lpwstr>Krzysztof.Lesniak@bgk.pl</vt:lpwstr>
  </property>
  <property fmtid="{D5CDD505-2E9C-101B-9397-08002B2CF9AE}" pid="12" name="MSIP_Label_c668bcff-e2d1-47e2-adc1-b3354af02961_SetDate">
    <vt:lpwstr>2019-04-29T14:16:59.9516635Z</vt:lpwstr>
  </property>
  <property fmtid="{D5CDD505-2E9C-101B-9397-08002B2CF9AE}" pid="13" name="MSIP_Label_c668bcff-e2d1-47e2-adc1-b3354af02961_Name">
    <vt:lpwstr>Ogólnodostępne</vt:lpwstr>
  </property>
  <property fmtid="{D5CDD505-2E9C-101B-9397-08002B2CF9AE}" pid="14" name="MSIP_Label_c668bcff-e2d1-47e2-adc1-b3354af02961_Application">
    <vt:lpwstr>Microsoft Azure Information Protection</vt:lpwstr>
  </property>
  <property fmtid="{D5CDD505-2E9C-101B-9397-08002B2CF9AE}" pid="15" name="MSIP_Label_c668bcff-e2d1-47e2-adc1-b3354af02961_Parent">
    <vt:lpwstr>ffd642cb-f5ac-4f9c-8f91-3377ed972e0d</vt:lpwstr>
  </property>
  <property fmtid="{D5CDD505-2E9C-101B-9397-08002B2CF9AE}" pid="16" name="MSIP_Label_c668bcff-e2d1-47e2-adc1-b3354af02961_Extended_MSFT_Method">
    <vt:lpwstr>Manual</vt:lpwstr>
  </property>
  <property fmtid="{D5CDD505-2E9C-101B-9397-08002B2CF9AE}" pid="17" name="Sensitivity">
    <vt:lpwstr>Wewnętrzne Ogólnodostępne</vt:lpwstr>
  </property>
</Properties>
</file>