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4789" w14:textId="77777777" w:rsidR="00FD211A" w:rsidRPr="001E5192" w:rsidRDefault="00FD211A" w:rsidP="00BB5C38">
      <w:pPr>
        <w:ind w:left="6861"/>
        <w:rPr>
          <w:rFonts w:cs="Arial"/>
          <w:b/>
        </w:rPr>
      </w:pPr>
    </w:p>
    <w:p w14:paraId="08089AB6" w14:textId="1B6B58BB" w:rsidR="00660B4A" w:rsidRPr="009867DA" w:rsidRDefault="00660B4A" w:rsidP="00660B4A">
      <w:pPr>
        <w:spacing w:after="0"/>
        <w:jc w:val="right"/>
        <w:rPr>
          <w:rFonts w:eastAsia="Calibri" w:cs="Arial"/>
          <w:b/>
          <w:i/>
          <w:color w:val="000000"/>
          <w:sz w:val="18"/>
          <w:szCs w:val="18"/>
        </w:rPr>
      </w:pPr>
      <w:r w:rsidRPr="009867DA">
        <w:rPr>
          <w:rFonts w:eastAsia="Calibri" w:cs="Arial"/>
          <w:b/>
          <w:i/>
          <w:color w:val="000000"/>
          <w:sz w:val="18"/>
          <w:szCs w:val="18"/>
        </w:rPr>
        <w:t xml:space="preserve">Załącznik nr </w:t>
      </w:r>
      <w:r w:rsidR="00DD07B4" w:rsidRPr="009867DA">
        <w:rPr>
          <w:rFonts w:eastAsia="Calibri" w:cs="Arial"/>
          <w:b/>
          <w:i/>
          <w:color w:val="000000"/>
          <w:sz w:val="18"/>
          <w:szCs w:val="18"/>
        </w:rPr>
        <w:t xml:space="preserve">2 do umowy inwestycyjnej </w:t>
      </w:r>
    </w:p>
    <w:p w14:paraId="496B8CBD" w14:textId="72F459C7" w:rsidR="009867DA" w:rsidRDefault="009867DA" w:rsidP="00BB5C38">
      <w:pPr>
        <w:pStyle w:val="Akapitzlist"/>
        <w:spacing w:after="120"/>
        <w:ind w:left="0"/>
        <w:contextualSpacing w:val="0"/>
        <w:jc w:val="center"/>
        <w:rPr>
          <w:rFonts w:cs="Arial"/>
          <w:b/>
        </w:rPr>
      </w:pPr>
    </w:p>
    <w:p w14:paraId="23252208" w14:textId="77777777" w:rsidR="009867DA" w:rsidRDefault="009867DA" w:rsidP="00BB5C38">
      <w:pPr>
        <w:pStyle w:val="Akapitzlist"/>
        <w:spacing w:after="120"/>
        <w:ind w:left="0"/>
        <w:contextualSpacing w:val="0"/>
        <w:jc w:val="center"/>
        <w:rPr>
          <w:rFonts w:cs="Arial"/>
          <w:b/>
        </w:rPr>
      </w:pPr>
    </w:p>
    <w:p w14:paraId="736A8294" w14:textId="55D0E199" w:rsidR="005F3EAE" w:rsidRDefault="00F116EF" w:rsidP="00BB5C38">
      <w:pPr>
        <w:pStyle w:val="Akapitzlist"/>
        <w:spacing w:after="120"/>
        <w:ind w:left="0"/>
        <w:contextualSpacing w:val="0"/>
        <w:jc w:val="center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</w:p>
    <w:p w14:paraId="0B6EE990" w14:textId="01B76041" w:rsidR="00DD07B4" w:rsidRPr="009867DA" w:rsidRDefault="009867DA" w:rsidP="009867DA">
      <w:pPr>
        <w:spacing w:after="0"/>
        <w:jc w:val="center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>(na podstawie a</w:t>
      </w:r>
      <w:r w:rsidR="00DD07B4" w:rsidRPr="009867DA">
        <w:rPr>
          <w:rFonts w:eastAsia="Calibri" w:cs="Arial"/>
          <w:b/>
          <w:i/>
          <w:color w:val="000000"/>
          <w:sz w:val="18"/>
          <w:szCs w:val="18"/>
        </w:rPr>
        <w:t xml:space="preserve">neksu nr 2 </w:t>
      </w:r>
      <w:r w:rsidR="00DD07B4" w:rsidRPr="009867DA">
        <w:rPr>
          <w:rFonts w:eastAsia="Calibri" w:cs="Arial"/>
          <w:b/>
          <w:bCs/>
          <w:i/>
          <w:color w:val="000000"/>
          <w:sz w:val="18"/>
          <w:szCs w:val="18"/>
        </w:rPr>
        <w:t>do Umowy Operacyjnej nr 2/RPMP/3818/2018/VI/DIF/135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)</w:t>
      </w:r>
    </w:p>
    <w:p w14:paraId="4B3F8BC8" w14:textId="650A1252" w:rsidR="0044270C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899096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Podstawowe parametry Pożyczki</w:t>
      </w:r>
    </w:p>
    <w:p w14:paraId="6209E9F0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Wartość Jednostkowej Pożyczki wynosi od 10 000 zł do 1 000 000 zł</w:t>
      </w:r>
      <w:r>
        <w:rPr>
          <w:rFonts w:cs="Arial"/>
        </w:rPr>
        <w:t>, w tym maksymalnie do 500.000,00 PLN na cele, o których mowa w cz. III. ust. 1 pkt 2),</w:t>
      </w:r>
      <w:r w:rsidRPr="005C227A">
        <w:rPr>
          <w:rFonts w:cs="Arial"/>
        </w:rPr>
        <w:t xml:space="preserve"> i jednocześnie nie może przekroczyć 10% kwoty przyznanego Limitu Pożyczki.</w:t>
      </w:r>
    </w:p>
    <w:p w14:paraId="31608743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5F31DE78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Pr="00BB5C38">
        <w:rPr>
          <w:rFonts w:cs="Arial"/>
        </w:rPr>
        <w:t>, a w przypadku pożyczek na cele, o których mowa w cz. I</w:t>
      </w:r>
      <w:r>
        <w:rPr>
          <w:rFonts w:cs="Arial"/>
        </w:rPr>
        <w:t>II</w:t>
      </w:r>
      <w:r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>
        <w:rPr>
          <w:rFonts w:cs="Arial"/>
        </w:rPr>
        <w:t xml:space="preserve">te mogą zostać wydłużone </w:t>
      </w:r>
      <w:r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 xml:space="preserve">. </w:t>
      </w:r>
    </w:p>
    <w:p w14:paraId="1730863A" w14:textId="77777777" w:rsidR="006F2743" w:rsidRPr="00BB5C38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9A1060" w14:textId="77777777" w:rsidR="006F2743" w:rsidRPr="00BB5C38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miesiące, z zastrzeżeniem pkt 2 poniżej,</w:t>
      </w:r>
    </w:p>
    <w:p w14:paraId="2072FA49" w14:textId="77777777" w:rsidR="006F2743" w:rsidRPr="002206B4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2206B4">
        <w:rPr>
          <w:rFonts w:cs="Arial"/>
        </w:rPr>
        <w:t>cz. VII ust. 4.</w:t>
      </w:r>
    </w:p>
    <w:p w14:paraId="75F879F7" w14:textId="77777777" w:rsidR="006F2743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kapitału Jednostkowej Pożyczki o okres wynoszący maksymalnie 6 miesięcy od dnia jej uruchomienia, przy czym karencja nie wydłuża okresu spłaty Jednostkowej Pożyczki, o którym mowa w </w:t>
      </w:r>
      <w:r>
        <w:rPr>
          <w:rFonts w:cs="Arial"/>
        </w:rPr>
        <w:t xml:space="preserve">ust. 4 </w:t>
      </w:r>
      <w:r w:rsidRPr="007E14DC">
        <w:rPr>
          <w:rFonts w:cs="Arial"/>
        </w:rPr>
        <w:t>powyżej.</w:t>
      </w:r>
    </w:p>
    <w:p w14:paraId="586BE274" w14:textId="77777777" w:rsidR="006F2743" w:rsidRPr="002C4D9F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2C4D9F">
        <w:rPr>
          <w:rFonts w:cstheme="minorHAnsi"/>
        </w:rPr>
        <w:t xml:space="preserve"> celu niwelowania skutków COVID-19,</w:t>
      </w:r>
      <w:r>
        <w:rPr>
          <w:rFonts w:cstheme="minorHAnsi"/>
        </w:rPr>
        <w:t xml:space="preserve"> do dnia 31 grudnia 2020 r.,</w:t>
      </w:r>
      <w:r w:rsidRPr="002C4D9F">
        <w:rPr>
          <w:rFonts w:cstheme="minorHAnsi"/>
        </w:rPr>
        <w:t xml:space="preserve"> Pośrednik posiada możliwość udzielenia Ostatecznemu Odbiorcy</w:t>
      </w:r>
      <w:r>
        <w:rPr>
          <w:rFonts w:cstheme="minorHAnsi"/>
        </w:rPr>
        <w:t xml:space="preserve">, korzystającemu z finansowania, o którym mowa w cz. III ust. 1. pkt 1 (dotyczy nowych Umów Inwestycyjnych oraz zawartych przed dniem wejścia w życie niniejszej Karty): </w:t>
      </w:r>
    </w:p>
    <w:p w14:paraId="3DDB615F" w14:textId="77777777" w:rsidR="006F2743" w:rsidRPr="002C4D9F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dodatkowej karencji w spłacie rat kapitałowych, do 6-miesięcy,</w:t>
      </w:r>
      <w:r>
        <w:rPr>
          <w:rFonts w:asciiTheme="minorHAnsi" w:hAnsiTheme="minorHAnsi" w:cstheme="minorHAnsi"/>
          <w:sz w:val="22"/>
          <w:szCs w:val="22"/>
        </w:rPr>
        <w:t xml:space="preserve"> tj. łącznie do 12 miesięcy</w:t>
      </w:r>
      <w:r w:rsidRPr="002C4D9F">
        <w:rPr>
          <w:rFonts w:asciiTheme="minorHAnsi" w:hAnsiTheme="minorHAnsi" w:cstheme="minorHAnsi"/>
          <w:sz w:val="22"/>
          <w:szCs w:val="22"/>
        </w:rPr>
        <w:t xml:space="preserve"> z wydłużeniem okresu finansowania (spłaty);</w:t>
      </w:r>
    </w:p>
    <w:p w14:paraId="24333C33" w14:textId="77777777" w:rsidR="006F2743" w:rsidRPr="002C4D9F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kredytowych.</w:t>
      </w:r>
    </w:p>
    <w:p w14:paraId="5C993D54" w14:textId="77777777" w:rsidR="006F2743" w:rsidRDefault="006F2743" w:rsidP="006F2743">
      <w:pPr>
        <w:pStyle w:val="Akapitzlist"/>
        <w:spacing w:after="120"/>
        <w:contextualSpacing w:val="0"/>
        <w:jc w:val="both"/>
        <w:rPr>
          <w:rFonts w:cs="Arial"/>
        </w:rPr>
      </w:pPr>
    </w:p>
    <w:p w14:paraId="7DD2A052" w14:textId="77777777" w:rsidR="006F2743" w:rsidRPr="005C227A" w:rsidRDefault="006F2743" w:rsidP="006F2743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145D5DB5" w14:textId="77777777" w:rsidR="006F2743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Udzielenie Jednostkowej Pożyczki nie może być uzależnione od zawarcia przez Ostatecznego Odbiorcę dodatkowych umów (w szczególności dotyczących zakupu dodatkowych usług, produktów finansowych lub ubezpieczeniowych) z Pośrednikiem Finansowym lub podmiotem </w:t>
      </w:r>
      <w:r w:rsidRPr="005C227A">
        <w:rPr>
          <w:rFonts w:cs="Arial"/>
        </w:rPr>
        <w:lastRenderedPageBreak/>
        <w:t>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zawieraną umową Jednostkowej Pożyczki, z zastrzeżeniem, iż</w:t>
      </w:r>
      <w:r w:rsidRPr="007E14DC">
        <w:rPr>
          <w:rFonts w:cs="Arial"/>
        </w:rPr>
        <w:t xml:space="preserve"> 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5CE09C3A" w14:textId="77777777" w:rsidR="006F2743" w:rsidRPr="00D7777B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Wydatkowanie środków Jednostkowej Pożyczki musi zostać należycie udokumentowane w terminie do </w:t>
      </w:r>
      <w:r>
        <w:rPr>
          <w:rFonts w:cs="Arial"/>
        </w:rPr>
        <w:t>180</w:t>
      </w:r>
      <w:r w:rsidRPr="005C227A">
        <w:rPr>
          <w:rFonts w:cs="Arial"/>
        </w:rPr>
        <w:t xml:space="preserve"> dni kalendarzowych od daty jej całkowitej wypłaty do Ostatecznego Odbiorcy. W uzasadnionych przypadkach i na wniosek Ostatecznego Odbiorcy termin ten może ule</w:t>
      </w:r>
      <w:r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Pr="005C227A">
        <w:t xml:space="preserve"> maksymalnie o kolejne </w:t>
      </w:r>
      <w:r>
        <w:t>180</w:t>
      </w:r>
      <w:r w:rsidRPr="005C227A">
        <w:t xml:space="preserve"> dni</w:t>
      </w:r>
      <w:r w:rsidRPr="00397665">
        <w:rPr>
          <w:rFonts w:cs="Arial"/>
        </w:rPr>
        <w:t xml:space="preserve"> </w:t>
      </w:r>
      <w:r w:rsidRPr="005C227A">
        <w:rPr>
          <w:rFonts w:cs="Arial"/>
        </w:rPr>
        <w:t xml:space="preserve">ze względu na charakter inwestycji. Dokumentem potwierdzającym wydatkowanie środków zgodnie z celem, na jaki zostały przyznane jest </w:t>
      </w:r>
      <w:r>
        <w:rPr>
          <w:rFonts w:cs="Arial"/>
        </w:rPr>
        <w:t xml:space="preserve">w szczególności </w:t>
      </w:r>
      <w:r w:rsidRPr="005C227A">
        <w:rPr>
          <w:rFonts w:cs="Arial"/>
        </w:rPr>
        <w:t xml:space="preserve">faktura lub dokument równoważny, w rozumieniu przepisów prawa krajowego. </w:t>
      </w:r>
      <w:r w:rsidRPr="009A0589">
        <w:t>Przedstawione w ramach rozliczenia dokumenty powinny w sposób jednoznaczny potwierdzać, że kwota pożyczki została wykorzystana zgodnie z</w:t>
      </w:r>
      <w:r>
        <w:t> </w:t>
      </w:r>
      <w:r w:rsidRPr="009A0589">
        <w:t>przeznaczeniem, na jakie została udzielona.</w:t>
      </w:r>
    </w:p>
    <w:p w14:paraId="2FD6551B" w14:textId="77777777" w:rsidR="006F2743" w:rsidRDefault="006F2743" w:rsidP="006F2743">
      <w:pPr>
        <w:pStyle w:val="Akapitzlist"/>
        <w:spacing w:after="120"/>
        <w:contextualSpacing w:val="0"/>
        <w:jc w:val="both"/>
      </w:pPr>
    </w:p>
    <w:p w14:paraId="4C8BC63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293F60C1" w14:textId="77777777" w:rsidR="006F2743" w:rsidRDefault="006F2743" w:rsidP="006F274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F6F97DD" w14:textId="77777777" w:rsidR="006F2743" w:rsidRPr="00F075FF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5C227A">
        <w:rPr>
          <w:rFonts w:cs="Arial"/>
        </w:rPr>
        <w:t>rzedsięwzięcia inwestycyjne, na terenie województwa małopolskiego realizowane przez MŚP działające na rynku powyżej 24 miesięcy</w:t>
      </w:r>
      <w:r>
        <w:rPr>
          <w:rStyle w:val="Odwoanieprzypisudolnego"/>
          <w:rFonts w:cs="Arial"/>
        </w:rPr>
        <w:footnoteReference w:id="1"/>
      </w:r>
      <w:r w:rsidRPr="005C227A">
        <w:rPr>
          <w:rFonts w:cs="Arial"/>
        </w:rPr>
        <w:t xml:space="preserve"> mające na celu rozwój/rozb</w:t>
      </w:r>
      <w:r w:rsidRPr="00F075FF">
        <w:rPr>
          <w:rFonts w:cs="Arial"/>
        </w:rPr>
        <w:t>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14:paraId="7721EB9F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593A28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5918F310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inwestycje dotyczące stosowania w działalności gospodarczej technologii </w:t>
      </w:r>
      <w:proofErr w:type="spellStart"/>
      <w:r w:rsidRPr="005C227A">
        <w:rPr>
          <w:rFonts w:cs="Arial"/>
        </w:rPr>
        <w:t>informacyjno</w:t>
      </w:r>
      <w:proofErr w:type="spellEnd"/>
      <w:r w:rsidRPr="005C227A">
        <w:rPr>
          <w:rFonts w:cs="Arial"/>
        </w:rPr>
        <w:t xml:space="preserve"> – komunikacyjnych (TIK),</w:t>
      </w:r>
    </w:p>
    <w:p w14:paraId="2D318142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przedsięwzięcia z zakresu dostosowania istniejących instalacji produkcyjnych do standardów najlepszych dostępnych technik (BAT – </w:t>
      </w:r>
      <w:proofErr w:type="spellStart"/>
      <w:r w:rsidRPr="005C227A">
        <w:rPr>
          <w:rFonts w:cs="Arial"/>
        </w:rPr>
        <w:t>best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available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technology</w:t>
      </w:r>
      <w:proofErr w:type="spellEnd"/>
      <w:r w:rsidRPr="005C227A">
        <w:rPr>
          <w:rFonts w:cs="Arial"/>
        </w:rPr>
        <w:t>) – nowoczesne rozwiązania umożliwiające redukcję kosztów działalności rynkowej w</w:t>
      </w:r>
      <w:r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5F388FA6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17EBC8DF" w14:textId="77777777" w:rsidR="006F2743" w:rsidRPr="00ED4F3A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lastRenderedPageBreak/>
        <w:t xml:space="preserve">Przedsięwzięcia płynnościowe realizowane przez MŚP z siedzibą lub oddziałem na terenie województwa małopolskiego, działające na rynku 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4B85C643" w14:textId="77777777" w:rsidR="006F2743" w:rsidRPr="00AC251C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613DB78" w14:textId="77777777" w:rsidR="006F2743" w:rsidRPr="00B17BC3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22D77059" w14:textId="77777777" w:rsidR="006F2743" w:rsidRPr="00804062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3DFDD36F" w14:textId="77777777" w:rsidR="006F2743" w:rsidRPr="00B17BC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proofErr w:type="spellStart"/>
      <w:r w:rsidRPr="00804062">
        <w:rPr>
          <w:rFonts w:eastAsia="Times New Roman"/>
          <w:iCs/>
          <w:lang w:eastAsia="pl-PL"/>
        </w:rPr>
        <w:t>zatowarowanie</w:t>
      </w:r>
      <w:proofErr w:type="spellEnd"/>
      <w:r w:rsidRPr="00804062">
        <w:rPr>
          <w:rFonts w:eastAsia="Times New Roman"/>
          <w:iCs/>
          <w:lang w:eastAsia="pl-PL"/>
        </w:rPr>
        <w:t>, półprodukty itp.,</w:t>
      </w:r>
    </w:p>
    <w:p w14:paraId="4DA51FA4" w14:textId="77777777" w:rsidR="006F274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52BBBA02" w14:textId="77777777" w:rsidR="006F2743" w:rsidRDefault="006F2743" w:rsidP="006F2743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06DBB9FE" w14:textId="77777777" w:rsidR="006F2743" w:rsidRPr="005C227A" w:rsidRDefault="006F2743" w:rsidP="006F274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367B01E4" w14:textId="77777777" w:rsidR="006F2743" w:rsidRPr="005C227A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28045FA5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4AD61249" w14:textId="77777777" w:rsidR="006F2743" w:rsidRPr="00F075FF" w:rsidRDefault="006F2743" w:rsidP="006F2743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1188501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>
        <w:rPr>
          <w:rFonts w:cs="Arial"/>
        </w:rPr>
        <w:t>S</w:t>
      </w:r>
      <w:r w:rsidRPr="00F075FF">
        <w:rPr>
          <w:rFonts w:cs="Arial"/>
        </w:rPr>
        <w:t>pecjalizacji</w:t>
      </w:r>
      <w:r>
        <w:rPr>
          <w:rFonts w:cs="Arial"/>
        </w:rPr>
        <w:t xml:space="preserve"> (wykaz dostępny u Pośrednika Finansowego)</w:t>
      </w:r>
    </w:p>
    <w:p w14:paraId="3575467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(wykaz dostępny u Pośrednika Finansowego)</w:t>
      </w:r>
    </w:p>
    <w:p w14:paraId="6F1D2156" w14:textId="77777777" w:rsidR="006F2743" w:rsidRPr="002206B4" w:rsidRDefault="006F2743" w:rsidP="006F2743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4B94E5D7" w14:textId="77777777" w:rsidR="006F2743" w:rsidRPr="00F075FF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2A423DDA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4A4B9861" w14:textId="77777777" w:rsidR="006F2743" w:rsidRPr="00F075FF" w:rsidRDefault="006F2743" w:rsidP="006F2743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5121A65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12F64C8B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 w pełni zrealizowane;</w:t>
      </w:r>
    </w:p>
    <w:p w14:paraId="0DE31F2E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5D2FE167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spłatę zobowiązań </w:t>
      </w:r>
      <w:proofErr w:type="spellStart"/>
      <w:r w:rsidRPr="00F075FF">
        <w:rPr>
          <w:rFonts w:cs="Arial"/>
        </w:rPr>
        <w:t>publiczno</w:t>
      </w:r>
      <w:proofErr w:type="spellEnd"/>
      <w:r w:rsidRPr="00F075FF">
        <w:rPr>
          <w:rFonts w:cs="Arial"/>
        </w:rPr>
        <w:t xml:space="preserve"> – prawnych Ostatecznego Odbiorcy</w:t>
      </w:r>
      <w:r>
        <w:rPr>
          <w:rFonts w:cs="Arial"/>
        </w:rPr>
        <w:t xml:space="preserve"> </w:t>
      </w:r>
      <w:r w:rsidRPr="0020578D">
        <w:rPr>
          <w:rFonts w:cs="Arial"/>
        </w:rPr>
        <w:t>– wykluczenie nie dotyczy pożyczek udzielanych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10E7276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0EDE6A7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finansowanie zakupu udziałów lub akcji innego przedsiębiorstwa</w:t>
      </w:r>
      <w:r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05A8045F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19BC6484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6B68D1A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2F40BCC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19608F6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53E29ED5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37F42693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2C789D09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2A2D2EA0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22626720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341AF68A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Jedno przedsiębiorstwo może otrzymać w ramach przyznanego Limitu Pożyczki nie więcej niż dwie Jednostkowe Pożyczki. </w:t>
      </w:r>
    </w:p>
    <w:p w14:paraId="0970E3A7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4ADA3723" w14:textId="77777777" w:rsidR="006F2743" w:rsidRPr="00F075FF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</w:t>
      </w:r>
      <w:r w:rsidRPr="0020578D">
        <w:rPr>
          <w:rFonts w:cs="Arial"/>
        </w:rPr>
        <w:t xml:space="preserve"> </w:t>
      </w:r>
      <w:r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0821FC5" w14:textId="77777777" w:rsidR="006F2743" w:rsidRPr="00F075FF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wyznaczania współczynnika ryzyka.</w:t>
      </w:r>
    </w:p>
    <w:p w14:paraId="0B098B2E" w14:textId="77777777" w:rsidR="006F2743" w:rsidRPr="0020578D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>
        <w:rPr>
          <w:rStyle w:val="Odwoanieprzypisudolnego"/>
          <w:rFonts w:cs="Arial"/>
          <w:i/>
        </w:rPr>
        <w:footnoteReference w:id="3"/>
      </w:r>
      <w:r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Pr="002206B4">
        <w:rPr>
          <w:rFonts w:cs="Arial"/>
        </w:rPr>
        <w:t xml:space="preserve">Oprocentowanie Jednostkowej Pożyczki udzielanej na zasadach korzystniejszych </w:t>
      </w:r>
      <w:r w:rsidRPr="002206B4">
        <w:rPr>
          <w:rFonts w:cs="Arial"/>
        </w:rPr>
        <w:lastRenderedPageBreak/>
        <w:t xml:space="preserve">niż rynkowe jest stałe w całym okresie jej obowiązywania i ustalane jest w wysokości stopy bazowej z dnia udzielenia Jednostkowej Pożyczki, dla przedsiębiorców działających w obszarach preferencji, o których mowa w </w:t>
      </w:r>
      <w:r>
        <w:rPr>
          <w:rFonts w:cs="Arial"/>
        </w:rPr>
        <w:t>cz.</w:t>
      </w:r>
      <w:r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>
        <w:rPr>
          <w:rFonts w:cs="Arial"/>
        </w:rPr>
        <w:t>cz</w:t>
      </w:r>
      <w:r w:rsidRPr="002206B4">
        <w:rPr>
          <w:rFonts w:cs="Arial"/>
        </w:rPr>
        <w:t>. VII.1.a) powyżej.</w:t>
      </w:r>
    </w:p>
    <w:p w14:paraId="082D298C" w14:textId="77777777" w:rsidR="006F2743" w:rsidRPr="0020578D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t xml:space="preserve">W przypadku niespełnienia przez Ostatecznego Odbiorcę jakiegokolwiek z warunków umożliwiających udzielenie pomocy de </w:t>
      </w:r>
      <w:proofErr w:type="spellStart"/>
      <w:r w:rsidRPr="002206B4">
        <w:rPr>
          <w:rFonts w:cs="Arial"/>
        </w:rPr>
        <w:t>minimis</w:t>
      </w:r>
      <w:proofErr w:type="spellEnd"/>
      <w:r w:rsidRPr="002206B4">
        <w:rPr>
          <w:rFonts w:cs="Arial"/>
        </w:rPr>
        <w:t xml:space="preserve"> finansowanie jest udzielane na zasadach rynkowych.</w:t>
      </w:r>
    </w:p>
    <w:p w14:paraId="479F9E6D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518D88C6" w14:textId="77777777" w:rsidR="006F2743" w:rsidRPr="0020578D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 xml:space="preserve">pomocy de </w:t>
      </w:r>
      <w:proofErr w:type="spellStart"/>
      <w:r w:rsidRPr="0020578D">
        <w:rPr>
          <w:rFonts w:cs="Arial"/>
        </w:rPr>
        <w:t>minimis</w:t>
      </w:r>
      <w:proofErr w:type="spellEnd"/>
      <w:r w:rsidRPr="0020578D">
        <w:rPr>
          <w:rFonts w:cs="Arial"/>
        </w:rPr>
        <w:t>,</w:t>
      </w:r>
    </w:p>
    <w:p w14:paraId="3DC4F137" w14:textId="77777777" w:rsidR="006F2743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  <w:r>
        <w:rPr>
          <w:rStyle w:val="Odwoanieprzypisudolnego"/>
          <w:rFonts w:cs="Arial"/>
        </w:rPr>
        <w:footnoteReference w:id="4"/>
      </w:r>
    </w:p>
    <w:p w14:paraId="4766AA4A" w14:textId="0F2457FF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A13124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A13124">
        <w:rPr>
          <w:rFonts w:cs="Arial"/>
          <w:b/>
        </w:rPr>
        <w:t xml:space="preserve">ach, </w:t>
      </w:r>
      <w:r w:rsidRPr="0020578D">
        <w:rPr>
          <w:rFonts w:cs="Arial"/>
          <w:b/>
        </w:rPr>
        <w:t>Pośrednik</w:t>
      </w:r>
      <w:r w:rsidR="00A13124">
        <w:rPr>
          <w:rFonts w:cs="Arial"/>
          <w:b/>
        </w:rPr>
        <w:t xml:space="preserve"> może</w:t>
      </w:r>
      <w:r w:rsidRPr="0020578D">
        <w:rPr>
          <w:rFonts w:cs="Arial"/>
          <w:b/>
        </w:rPr>
        <w:t xml:space="preserve"> udziela</w:t>
      </w:r>
      <w:r w:rsidR="00A13124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>
        <w:rPr>
          <w:b/>
        </w:rPr>
        <w:t>Dotyczy to także części pożyczki finansowanej ze środków wkładu własnego Pośrednika.</w:t>
      </w:r>
      <w:r w:rsidRPr="00AC251C">
        <w:rPr>
          <w:b/>
        </w:rPr>
        <w:t xml:space="preserve">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Pr="00EA6786">
        <w:rPr>
          <w:rFonts w:cs="Arial"/>
        </w:rPr>
        <w:t xml:space="preserve">właściwym krajowym 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Pr="002206B4">
        <w:rPr>
          <w:rFonts w:cs="Arial"/>
        </w:rPr>
        <w:t>W przypadku niespełnienia przez Pożyczkobiorcę jakiegokolwiek z warunków umożliwiających udzielenie pomocy</w:t>
      </w:r>
      <w:r>
        <w:rPr>
          <w:rFonts w:cs="Arial"/>
        </w:rPr>
        <w:t xml:space="preserve"> zgodnej z niniejszym ustępem</w:t>
      </w:r>
      <w:r w:rsidRPr="002206B4">
        <w:rPr>
          <w:rFonts w:cs="Arial"/>
        </w:rPr>
        <w:t>, finansowanie nie jest udzielane.</w:t>
      </w:r>
    </w:p>
    <w:p w14:paraId="489FB485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4E6DB652" w14:textId="2FB12D38" w:rsidR="006F2743" w:rsidRPr="009867DA" w:rsidRDefault="006F2743" w:rsidP="00636FDF">
      <w:pPr>
        <w:pStyle w:val="Akapitzlist"/>
        <w:numPr>
          <w:ilvl w:val="0"/>
          <w:numId w:val="2"/>
        </w:numPr>
        <w:spacing w:after="120"/>
        <w:ind w:left="0"/>
        <w:contextualSpacing w:val="0"/>
        <w:jc w:val="both"/>
        <w:rPr>
          <w:rFonts w:cs="Arial"/>
          <w:b/>
        </w:rPr>
      </w:pPr>
      <w:r w:rsidRPr="009867DA">
        <w:rPr>
          <w:rFonts w:cs="Arial"/>
        </w:rPr>
        <w:t>Za udzielenie i obsługę Jednostkowej Pożyczki nie pobiera się żadnych opłat i prowizji. Powyższe nie dotyczy odrębnie uregulowanych czynności windykacyjnych.</w:t>
      </w:r>
    </w:p>
    <w:sectPr w:rsidR="006F2743" w:rsidRPr="009867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109A" w14:textId="77777777" w:rsidR="00061C26" w:rsidRDefault="00061C26" w:rsidP="00BA3860">
      <w:pPr>
        <w:spacing w:after="0" w:line="240" w:lineRule="auto"/>
      </w:pPr>
      <w:r>
        <w:separator/>
      </w:r>
    </w:p>
  </w:endnote>
  <w:endnote w:type="continuationSeparator" w:id="0">
    <w:p w14:paraId="140EAA40" w14:textId="77777777" w:rsidR="00061C26" w:rsidRDefault="00061C26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4E6819EF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7D0E78">
              <w:rPr>
                <w:bCs/>
                <w:noProof/>
              </w:rPr>
              <w:t>4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7D0E78">
              <w:rPr>
                <w:bCs/>
                <w:noProof/>
              </w:rPr>
              <w:t>5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854B" w14:textId="77777777" w:rsidR="00061C26" w:rsidRDefault="00061C26" w:rsidP="00BA3860">
      <w:pPr>
        <w:spacing w:after="0" w:line="240" w:lineRule="auto"/>
      </w:pPr>
      <w:r>
        <w:separator/>
      </w:r>
    </w:p>
  </w:footnote>
  <w:footnote w:type="continuationSeparator" w:id="0">
    <w:p w14:paraId="59E0A662" w14:textId="77777777" w:rsidR="00061C26" w:rsidRDefault="00061C26" w:rsidP="00BA3860">
      <w:pPr>
        <w:spacing w:after="0" w:line="240" w:lineRule="auto"/>
      </w:pPr>
      <w:r>
        <w:continuationSeparator/>
      </w:r>
    </w:p>
  </w:footnote>
  <w:footnote w:id="1">
    <w:p w14:paraId="0DCB6282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14:paraId="4E8EC614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3">
    <w:p w14:paraId="5651D796" w14:textId="77777777" w:rsidR="006F2743" w:rsidRDefault="006F2743" w:rsidP="006F27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w ramach regionalnych programów operacyjnych na lata 2014–2020 (</w:t>
      </w:r>
      <w:r w:rsidRPr="00CC4777">
        <w:t>Dz.U. 2015 poz. 488 z późniejszymi zmianami)</w:t>
      </w:r>
      <w:r>
        <w:t>.</w:t>
      </w:r>
    </w:p>
  </w:footnote>
  <w:footnote w:id="4">
    <w:p w14:paraId="1CC88C08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Stosowanie tej formy pomocy możliwe będzie w przypadku wejścia w życie odpowiedniego Rozporządzenia krajowego dotyczącego tej formy pomocy </w:t>
      </w:r>
    </w:p>
    <w:p w14:paraId="54B0D005" w14:textId="77777777" w:rsidR="006F2743" w:rsidRDefault="006F2743" w:rsidP="006F2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A74D" w14:textId="160CB9EA" w:rsidR="00DC313E" w:rsidRDefault="00EF194B" w:rsidP="00EF194B">
    <w:pPr>
      <w:pStyle w:val="Nagwek"/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 wp14:anchorId="5ED13CE7" wp14:editId="1C1A5EBC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lang w:eastAsia="pl-PL"/>
      </w:rPr>
      <w:drawing>
        <wp:inline distT="0" distB="0" distL="0" distR="0" wp14:anchorId="3EB50FEB" wp14:editId="5547F3D3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6"/>
  </w:num>
  <w:num w:numId="5">
    <w:abstractNumId w:val="16"/>
  </w:num>
  <w:num w:numId="6">
    <w:abstractNumId w:val="21"/>
  </w:num>
  <w:num w:numId="7">
    <w:abstractNumId w:val="13"/>
  </w:num>
  <w:num w:numId="8">
    <w:abstractNumId w:val="11"/>
  </w:num>
  <w:num w:numId="9">
    <w:abstractNumId w:val="22"/>
  </w:num>
  <w:num w:numId="10">
    <w:abstractNumId w:val="31"/>
  </w:num>
  <w:num w:numId="11">
    <w:abstractNumId w:val="2"/>
  </w:num>
  <w:num w:numId="12">
    <w:abstractNumId w:val="30"/>
  </w:num>
  <w:num w:numId="13">
    <w:abstractNumId w:val="18"/>
  </w:num>
  <w:num w:numId="14">
    <w:abstractNumId w:val="5"/>
  </w:num>
  <w:num w:numId="15">
    <w:abstractNumId w:val="3"/>
  </w:num>
  <w:num w:numId="16">
    <w:abstractNumId w:val="20"/>
  </w:num>
  <w:num w:numId="17">
    <w:abstractNumId w:val="28"/>
  </w:num>
  <w:num w:numId="18">
    <w:abstractNumId w:val="27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3"/>
  </w:num>
  <w:num w:numId="24">
    <w:abstractNumId w:val="14"/>
  </w:num>
  <w:num w:numId="25">
    <w:abstractNumId w:val="19"/>
  </w:num>
  <w:num w:numId="26">
    <w:abstractNumId w:val="4"/>
  </w:num>
  <w:num w:numId="27">
    <w:abstractNumId w:val="29"/>
  </w:num>
  <w:num w:numId="28">
    <w:abstractNumId w:val="10"/>
  </w:num>
  <w:num w:numId="29">
    <w:abstractNumId w:val="26"/>
  </w:num>
  <w:num w:numId="30">
    <w:abstractNumId w:val="17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0322"/>
    <w:rsid w:val="00004BAA"/>
    <w:rsid w:val="00005AB6"/>
    <w:rsid w:val="000120A7"/>
    <w:rsid w:val="00013256"/>
    <w:rsid w:val="00033D61"/>
    <w:rsid w:val="000378CD"/>
    <w:rsid w:val="000402B4"/>
    <w:rsid w:val="00055219"/>
    <w:rsid w:val="00061C26"/>
    <w:rsid w:val="000710BD"/>
    <w:rsid w:val="00084974"/>
    <w:rsid w:val="00097D21"/>
    <w:rsid w:val="000A602D"/>
    <w:rsid w:val="000B60CD"/>
    <w:rsid w:val="000B6FD5"/>
    <w:rsid w:val="000C0C7F"/>
    <w:rsid w:val="000C1D62"/>
    <w:rsid w:val="000C3F38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578D"/>
    <w:rsid w:val="00207D0C"/>
    <w:rsid w:val="00216CDB"/>
    <w:rsid w:val="002206B4"/>
    <w:rsid w:val="00220E6E"/>
    <w:rsid w:val="002341C7"/>
    <w:rsid w:val="00240F7F"/>
    <w:rsid w:val="00243BEF"/>
    <w:rsid w:val="00244AC4"/>
    <w:rsid w:val="0025622D"/>
    <w:rsid w:val="00257186"/>
    <w:rsid w:val="002612FF"/>
    <w:rsid w:val="00270495"/>
    <w:rsid w:val="00286819"/>
    <w:rsid w:val="00297FFB"/>
    <w:rsid w:val="002B6A7C"/>
    <w:rsid w:val="002D14E9"/>
    <w:rsid w:val="002D15C3"/>
    <w:rsid w:val="002D1C48"/>
    <w:rsid w:val="002E0530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75439"/>
    <w:rsid w:val="0038795D"/>
    <w:rsid w:val="00387A25"/>
    <w:rsid w:val="00397665"/>
    <w:rsid w:val="003C1B34"/>
    <w:rsid w:val="003F30BE"/>
    <w:rsid w:val="0044270C"/>
    <w:rsid w:val="00452B0E"/>
    <w:rsid w:val="00460485"/>
    <w:rsid w:val="00480ADE"/>
    <w:rsid w:val="00481FD6"/>
    <w:rsid w:val="004851DD"/>
    <w:rsid w:val="00486BD1"/>
    <w:rsid w:val="0049488E"/>
    <w:rsid w:val="004A7D6F"/>
    <w:rsid w:val="004C6971"/>
    <w:rsid w:val="004D6CDD"/>
    <w:rsid w:val="004F07E9"/>
    <w:rsid w:val="004F22B2"/>
    <w:rsid w:val="004F4478"/>
    <w:rsid w:val="00501E63"/>
    <w:rsid w:val="005034D1"/>
    <w:rsid w:val="005141A6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40C4"/>
    <w:rsid w:val="00595856"/>
    <w:rsid w:val="005A09A4"/>
    <w:rsid w:val="005A3992"/>
    <w:rsid w:val="005A41DA"/>
    <w:rsid w:val="005B36AB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3145"/>
    <w:rsid w:val="00657948"/>
    <w:rsid w:val="00660B4A"/>
    <w:rsid w:val="00671C14"/>
    <w:rsid w:val="00672E84"/>
    <w:rsid w:val="00675EC4"/>
    <w:rsid w:val="006839E1"/>
    <w:rsid w:val="006856FE"/>
    <w:rsid w:val="006867BF"/>
    <w:rsid w:val="006A6960"/>
    <w:rsid w:val="006C69EF"/>
    <w:rsid w:val="006D1BB3"/>
    <w:rsid w:val="006D2EAA"/>
    <w:rsid w:val="006E3D31"/>
    <w:rsid w:val="006F2743"/>
    <w:rsid w:val="006F6543"/>
    <w:rsid w:val="006F76B5"/>
    <w:rsid w:val="00702299"/>
    <w:rsid w:val="007133F1"/>
    <w:rsid w:val="007153D4"/>
    <w:rsid w:val="00730601"/>
    <w:rsid w:val="007349B7"/>
    <w:rsid w:val="0074173C"/>
    <w:rsid w:val="007418CD"/>
    <w:rsid w:val="00744A05"/>
    <w:rsid w:val="00750129"/>
    <w:rsid w:val="0075044C"/>
    <w:rsid w:val="00756775"/>
    <w:rsid w:val="007678C3"/>
    <w:rsid w:val="0077154A"/>
    <w:rsid w:val="00790C57"/>
    <w:rsid w:val="00793B17"/>
    <w:rsid w:val="007A22D8"/>
    <w:rsid w:val="007A3065"/>
    <w:rsid w:val="007A3B55"/>
    <w:rsid w:val="007B0744"/>
    <w:rsid w:val="007B275C"/>
    <w:rsid w:val="007D0E78"/>
    <w:rsid w:val="007E14DC"/>
    <w:rsid w:val="007E5E4E"/>
    <w:rsid w:val="007F3476"/>
    <w:rsid w:val="007F762C"/>
    <w:rsid w:val="00804689"/>
    <w:rsid w:val="008139BD"/>
    <w:rsid w:val="00817FA8"/>
    <w:rsid w:val="0082522B"/>
    <w:rsid w:val="00835117"/>
    <w:rsid w:val="00851171"/>
    <w:rsid w:val="00851FA7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7825"/>
    <w:rsid w:val="008C5A74"/>
    <w:rsid w:val="008D6546"/>
    <w:rsid w:val="008E3C6E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C9F"/>
    <w:rsid w:val="00974E3F"/>
    <w:rsid w:val="0098172F"/>
    <w:rsid w:val="0098437E"/>
    <w:rsid w:val="009867DA"/>
    <w:rsid w:val="0098739F"/>
    <w:rsid w:val="00987B33"/>
    <w:rsid w:val="009B44EA"/>
    <w:rsid w:val="009C17A6"/>
    <w:rsid w:val="009C31C7"/>
    <w:rsid w:val="009D1915"/>
    <w:rsid w:val="009D2AA9"/>
    <w:rsid w:val="009D337C"/>
    <w:rsid w:val="009D5EA3"/>
    <w:rsid w:val="009F1B63"/>
    <w:rsid w:val="009F7B16"/>
    <w:rsid w:val="00A13124"/>
    <w:rsid w:val="00A1317B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2137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7CDE"/>
    <w:rsid w:val="00BD7D4C"/>
    <w:rsid w:val="00BE4BB1"/>
    <w:rsid w:val="00C02D1A"/>
    <w:rsid w:val="00C040E3"/>
    <w:rsid w:val="00C147F2"/>
    <w:rsid w:val="00C20A37"/>
    <w:rsid w:val="00C257CD"/>
    <w:rsid w:val="00C34975"/>
    <w:rsid w:val="00C35A73"/>
    <w:rsid w:val="00C40EB6"/>
    <w:rsid w:val="00C47D98"/>
    <w:rsid w:val="00C546D4"/>
    <w:rsid w:val="00C55797"/>
    <w:rsid w:val="00C85903"/>
    <w:rsid w:val="00C86F63"/>
    <w:rsid w:val="00C87377"/>
    <w:rsid w:val="00C87529"/>
    <w:rsid w:val="00C94198"/>
    <w:rsid w:val="00C94CB0"/>
    <w:rsid w:val="00CB0854"/>
    <w:rsid w:val="00CB09F8"/>
    <w:rsid w:val="00CC1E53"/>
    <w:rsid w:val="00CE36D6"/>
    <w:rsid w:val="00CF1B7E"/>
    <w:rsid w:val="00D00AFC"/>
    <w:rsid w:val="00D01E03"/>
    <w:rsid w:val="00D03F56"/>
    <w:rsid w:val="00D04DB1"/>
    <w:rsid w:val="00D06864"/>
    <w:rsid w:val="00D1037A"/>
    <w:rsid w:val="00D12C6C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904DE"/>
    <w:rsid w:val="00D94AF1"/>
    <w:rsid w:val="00D95379"/>
    <w:rsid w:val="00D954C3"/>
    <w:rsid w:val="00DB1308"/>
    <w:rsid w:val="00DB160A"/>
    <w:rsid w:val="00DC313E"/>
    <w:rsid w:val="00DC3B99"/>
    <w:rsid w:val="00DD07B4"/>
    <w:rsid w:val="00DE57E0"/>
    <w:rsid w:val="00DF6A0F"/>
    <w:rsid w:val="00E02DC8"/>
    <w:rsid w:val="00E10F87"/>
    <w:rsid w:val="00E132AD"/>
    <w:rsid w:val="00E138AC"/>
    <w:rsid w:val="00E5129A"/>
    <w:rsid w:val="00E5504D"/>
    <w:rsid w:val="00E5709D"/>
    <w:rsid w:val="00E65A46"/>
    <w:rsid w:val="00E709B6"/>
    <w:rsid w:val="00E729A9"/>
    <w:rsid w:val="00EA6086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F194B"/>
    <w:rsid w:val="00EF5F4D"/>
    <w:rsid w:val="00F0447C"/>
    <w:rsid w:val="00F075FF"/>
    <w:rsid w:val="00F116EF"/>
    <w:rsid w:val="00F25628"/>
    <w:rsid w:val="00F27EAE"/>
    <w:rsid w:val="00F348B2"/>
    <w:rsid w:val="00F60DBF"/>
    <w:rsid w:val="00F80E0C"/>
    <w:rsid w:val="00F84B8F"/>
    <w:rsid w:val="00F92B94"/>
    <w:rsid w:val="00F9370D"/>
    <w:rsid w:val="00F93926"/>
    <w:rsid w:val="00FA59AB"/>
    <w:rsid w:val="00FB10B5"/>
    <w:rsid w:val="00FB141F"/>
    <w:rsid w:val="00FB2DCE"/>
    <w:rsid w:val="00FC6481"/>
    <w:rsid w:val="00FD069E"/>
    <w:rsid w:val="00FD1405"/>
    <w:rsid w:val="00FD1D5D"/>
    <w:rsid w:val="00FD211A"/>
    <w:rsid w:val="00FF0A34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3A764B77-8A84-495B-9D6D-3B82A97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6F2743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6F27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F912-656F-4185-A14F-DA7DA42F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Rafał Wdowicz</cp:lastModifiedBy>
  <cp:revision>9</cp:revision>
  <cp:lastPrinted>2020-05-26T17:00:00Z</cp:lastPrinted>
  <dcterms:created xsi:type="dcterms:W3CDTF">2020-04-27T20:00:00Z</dcterms:created>
  <dcterms:modified xsi:type="dcterms:W3CDTF">2020-06-19T12:06:00Z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