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4789" w14:textId="77777777" w:rsidR="00FD211A" w:rsidRPr="001E5192" w:rsidRDefault="00FD211A" w:rsidP="0035342F">
      <w:pPr>
        <w:ind w:left="6861"/>
        <w:rPr>
          <w:rFonts w:cs="Arial"/>
          <w:b/>
        </w:rPr>
      </w:pPr>
    </w:p>
    <w:p w14:paraId="0D3C5E2C" w14:textId="62260FDB" w:rsidR="00BC506F" w:rsidRDefault="00A81959" w:rsidP="00F6716B">
      <w:pPr>
        <w:spacing w:after="0" w:line="240" w:lineRule="auto"/>
        <w:jc w:val="center"/>
        <w:rPr>
          <w:rFonts w:cs="Arial"/>
          <w:b/>
          <w:i/>
          <w:color w:val="000000"/>
        </w:rPr>
      </w:pPr>
      <w:r w:rsidRPr="007E14DC">
        <w:rPr>
          <w:rFonts w:cs="Arial"/>
          <w:b/>
          <w:i/>
          <w:color w:val="000000"/>
        </w:rPr>
        <w:t xml:space="preserve"> Pożyczka </w:t>
      </w:r>
      <w:r w:rsidR="00BC506F" w:rsidRPr="007E14DC">
        <w:rPr>
          <w:rFonts w:cs="Arial"/>
          <w:b/>
          <w:i/>
          <w:color w:val="000000"/>
        </w:rPr>
        <w:t xml:space="preserve">nr </w:t>
      </w:r>
      <w:r w:rsidR="004A39CD" w:rsidRPr="004A39CD">
        <w:rPr>
          <w:rFonts w:cs="Arial"/>
          <w:b/>
          <w:i/>
          <w:color w:val="000000"/>
        </w:rPr>
        <w:t>2/RPMP/3818/2018/IX/DIF/</w:t>
      </w:r>
      <w:r w:rsidR="00234075">
        <w:rPr>
          <w:rFonts w:cs="Arial"/>
          <w:b/>
          <w:i/>
          <w:color w:val="000000"/>
        </w:rPr>
        <w:t>136</w:t>
      </w:r>
    </w:p>
    <w:p w14:paraId="78AF9E91" w14:textId="285355C9" w:rsidR="004113EB" w:rsidRPr="007E14DC" w:rsidRDefault="004113EB" w:rsidP="00F6716B">
      <w:pPr>
        <w:spacing w:after="0" w:line="240" w:lineRule="auto"/>
        <w:jc w:val="center"/>
        <w:rPr>
          <w:rFonts w:cs="Arial"/>
          <w:i/>
          <w:color w:val="000000"/>
        </w:rPr>
      </w:pPr>
    </w:p>
    <w:p w14:paraId="65FF958D" w14:textId="7902E089" w:rsidR="005F3EAE" w:rsidRDefault="005F3EAE" w:rsidP="00817FA8">
      <w:pPr>
        <w:pStyle w:val="Akapitzlist"/>
        <w:spacing w:after="120" w:line="23" w:lineRule="atLeast"/>
        <w:ind w:left="0"/>
        <w:contextualSpacing w:val="0"/>
        <w:jc w:val="both"/>
        <w:rPr>
          <w:rFonts w:cs="Arial"/>
          <w:b/>
        </w:rPr>
      </w:pPr>
    </w:p>
    <w:p w14:paraId="736A8294" w14:textId="0F80995D" w:rsidR="005F3EAE" w:rsidRPr="005C227A" w:rsidRDefault="00F116EF" w:rsidP="00F6716B">
      <w:pPr>
        <w:pStyle w:val="Akapitzlist"/>
        <w:spacing w:after="120" w:line="23" w:lineRule="atLeast"/>
        <w:ind w:left="2832" w:firstLine="708"/>
        <w:contextualSpacing w:val="0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</w:p>
    <w:p w14:paraId="58204AAB" w14:textId="53903AB9" w:rsidR="005F3EAE" w:rsidRDefault="005F3EAE" w:rsidP="00817FA8">
      <w:pPr>
        <w:pStyle w:val="Akapitzlist"/>
        <w:spacing w:after="120" w:line="23" w:lineRule="atLeast"/>
        <w:ind w:left="0"/>
        <w:contextualSpacing w:val="0"/>
        <w:jc w:val="both"/>
        <w:rPr>
          <w:rFonts w:cs="Arial"/>
          <w:b/>
        </w:rPr>
      </w:pPr>
    </w:p>
    <w:p w14:paraId="5F299B3B" w14:textId="1E4B566E" w:rsidR="0044270C" w:rsidRDefault="0044270C" w:rsidP="00817FA8">
      <w:pPr>
        <w:pStyle w:val="Akapitzlist"/>
        <w:spacing w:after="120" w:line="23" w:lineRule="atLeast"/>
        <w:ind w:left="0"/>
        <w:contextualSpacing w:val="0"/>
        <w:jc w:val="both"/>
        <w:rPr>
          <w:rFonts w:cs="Arial"/>
          <w:b/>
        </w:rPr>
      </w:pPr>
    </w:p>
    <w:p w14:paraId="4B3F8BC8" w14:textId="77777777" w:rsidR="0044270C" w:rsidRPr="005C227A" w:rsidRDefault="0044270C" w:rsidP="00817FA8">
      <w:pPr>
        <w:pStyle w:val="Akapitzlist"/>
        <w:spacing w:after="120" w:line="23" w:lineRule="atLeast"/>
        <w:ind w:left="0"/>
        <w:contextualSpacing w:val="0"/>
        <w:jc w:val="both"/>
        <w:rPr>
          <w:rFonts w:cs="Arial"/>
          <w:b/>
        </w:rPr>
      </w:pPr>
    </w:p>
    <w:p w14:paraId="37F506F7" w14:textId="75EA5CC7" w:rsidR="007678C3" w:rsidRPr="005C227A" w:rsidRDefault="007678C3" w:rsidP="00817FA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 xml:space="preserve">Podstawowe parametry </w:t>
      </w:r>
      <w:r w:rsidR="00C40EB6" w:rsidRPr="005C227A">
        <w:rPr>
          <w:rFonts w:cs="Arial"/>
          <w:b/>
        </w:rPr>
        <w:t>P</w:t>
      </w:r>
      <w:r w:rsidR="00CC1E53" w:rsidRPr="005C227A">
        <w:rPr>
          <w:rFonts w:cs="Arial"/>
          <w:b/>
        </w:rPr>
        <w:t>ożycz</w:t>
      </w:r>
      <w:r w:rsidR="00F116EF" w:rsidRPr="005C227A">
        <w:rPr>
          <w:rFonts w:cs="Arial"/>
          <w:b/>
        </w:rPr>
        <w:t>ki</w:t>
      </w:r>
    </w:p>
    <w:p w14:paraId="4E19050D" w14:textId="2E8B5575" w:rsidR="007678C3" w:rsidRPr="005C227A" w:rsidRDefault="007678C3" w:rsidP="00CC1E53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Wartość </w:t>
      </w:r>
      <w:r w:rsidR="00CC1E53" w:rsidRPr="005C227A">
        <w:rPr>
          <w:rFonts w:cs="Arial"/>
        </w:rPr>
        <w:t xml:space="preserve">Jednostkowej </w:t>
      </w:r>
      <w:r w:rsidR="00AD0A4E" w:rsidRPr="005C227A">
        <w:rPr>
          <w:rFonts w:cs="Arial"/>
        </w:rPr>
        <w:t>P</w:t>
      </w:r>
      <w:r w:rsidRPr="005C227A">
        <w:rPr>
          <w:rFonts w:cs="Arial"/>
        </w:rPr>
        <w:t xml:space="preserve">ożyczki </w:t>
      </w:r>
      <w:r w:rsidR="008A7825" w:rsidRPr="005C227A">
        <w:rPr>
          <w:rFonts w:cs="Arial"/>
        </w:rPr>
        <w:t xml:space="preserve">wynosi </w:t>
      </w:r>
      <w:r w:rsidR="00C87529" w:rsidRPr="005C227A">
        <w:rPr>
          <w:rFonts w:cs="Arial"/>
        </w:rPr>
        <w:t xml:space="preserve">od </w:t>
      </w:r>
      <w:r w:rsidR="008A7825" w:rsidRPr="005C227A">
        <w:rPr>
          <w:rFonts w:cs="Arial"/>
        </w:rPr>
        <w:t xml:space="preserve">10 000 zł </w:t>
      </w:r>
      <w:r w:rsidR="00C87529" w:rsidRPr="005C227A">
        <w:rPr>
          <w:rFonts w:cs="Arial"/>
        </w:rPr>
        <w:t xml:space="preserve">do 1 000 000 zł </w:t>
      </w:r>
      <w:r w:rsidR="008A7825" w:rsidRPr="005C227A">
        <w:rPr>
          <w:rFonts w:cs="Arial"/>
        </w:rPr>
        <w:t xml:space="preserve">i </w:t>
      </w:r>
      <w:r w:rsidR="006F6543" w:rsidRPr="005C227A">
        <w:rPr>
          <w:rFonts w:cs="Arial"/>
        </w:rPr>
        <w:t xml:space="preserve">jednocześnie </w:t>
      </w:r>
      <w:r w:rsidRPr="005C227A">
        <w:rPr>
          <w:rFonts w:cs="Arial"/>
        </w:rPr>
        <w:t xml:space="preserve">nie może przekroczyć </w:t>
      </w:r>
      <w:r w:rsidR="001431D7" w:rsidRPr="005C227A">
        <w:rPr>
          <w:rFonts w:cs="Arial"/>
        </w:rPr>
        <w:t xml:space="preserve">10% </w:t>
      </w:r>
      <w:r w:rsidRPr="005C227A">
        <w:rPr>
          <w:rFonts w:cs="Arial"/>
        </w:rPr>
        <w:t xml:space="preserve">kwoty </w:t>
      </w:r>
      <w:r w:rsidR="001431D7" w:rsidRPr="005C227A">
        <w:rPr>
          <w:rFonts w:cs="Arial"/>
        </w:rPr>
        <w:t xml:space="preserve">przyznanego Limitu </w:t>
      </w:r>
      <w:r w:rsidR="00AD0A4E" w:rsidRPr="005C227A">
        <w:rPr>
          <w:rFonts w:cs="Arial"/>
        </w:rPr>
        <w:t>P</w:t>
      </w:r>
      <w:r w:rsidR="001431D7" w:rsidRPr="005C227A">
        <w:rPr>
          <w:rFonts w:cs="Arial"/>
        </w:rPr>
        <w:t>ożyczki</w:t>
      </w:r>
      <w:r w:rsidRPr="005C227A">
        <w:rPr>
          <w:rFonts w:cs="Arial"/>
        </w:rPr>
        <w:t>.</w:t>
      </w:r>
    </w:p>
    <w:p w14:paraId="5C6ACA9D" w14:textId="77777777" w:rsidR="00F116EF" w:rsidRPr="005C227A" w:rsidRDefault="00F116EF" w:rsidP="00F116EF">
      <w:pPr>
        <w:pStyle w:val="Akapitzlist"/>
        <w:numPr>
          <w:ilvl w:val="0"/>
          <w:numId w:val="11"/>
        </w:numPr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3B033C99" w14:textId="52637262" w:rsidR="00F116EF" w:rsidRPr="005C227A" w:rsidRDefault="00F116EF" w:rsidP="00F116EF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Inwestycyjnej.</w:t>
      </w:r>
      <w:r w:rsidR="00567D03" w:rsidRPr="005C227A">
        <w:rPr>
          <w:rFonts w:cs="Arial"/>
        </w:rPr>
        <w:t xml:space="preserve"> </w:t>
      </w:r>
    </w:p>
    <w:p w14:paraId="25F5F4DE" w14:textId="757EC20E" w:rsidR="00F116EF" w:rsidRPr="005C227A" w:rsidRDefault="00F116EF" w:rsidP="00F116EF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okres spłaty Jednostkowej Pożyczki nie może być dłuższy niż 84 miesi</w:t>
      </w:r>
      <w:r w:rsidR="00234075">
        <w:rPr>
          <w:rFonts w:cs="Arial"/>
        </w:rPr>
        <w:t>ące</w:t>
      </w:r>
      <w:r w:rsidRPr="005C227A">
        <w:rPr>
          <w:rFonts w:cs="Arial"/>
        </w:rPr>
        <w:t>, od momentu jej uruchomienia, tj. wypłaty pierwszej transzy Jednostkowej Pożyczki.</w:t>
      </w:r>
    </w:p>
    <w:p w14:paraId="70122AF7" w14:textId="07BA5182" w:rsidR="00F116EF" w:rsidRDefault="00F116EF" w:rsidP="00F116E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</w:t>
      </w:r>
      <w:r w:rsidR="006179C8" w:rsidRPr="005C227A">
        <w:rPr>
          <w:rFonts w:cs="Arial"/>
        </w:rPr>
        <w:t xml:space="preserve">kapitału </w:t>
      </w:r>
      <w:r w:rsidRPr="005C227A">
        <w:rPr>
          <w:rFonts w:cs="Arial"/>
        </w:rPr>
        <w:t xml:space="preserve">Jednostkowej Pożyczki o okres wynoszący maksymalnie 6 miesięcy od dnia jej uruchomienia, przy czym karencja nie wydłuża okresu spłaty Jednostkowej Pożyczki, o którym mowa w </w:t>
      </w:r>
      <w:r w:rsidR="007E14DC">
        <w:rPr>
          <w:rFonts w:cs="Arial"/>
        </w:rPr>
        <w:t>pkt</w:t>
      </w:r>
      <w:r w:rsidR="00B21378">
        <w:rPr>
          <w:rFonts w:cs="Arial"/>
        </w:rPr>
        <w:t>.I.</w:t>
      </w:r>
      <w:r w:rsidR="007E14DC">
        <w:rPr>
          <w:rFonts w:cs="Arial"/>
        </w:rPr>
        <w:t xml:space="preserve">4 </w:t>
      </w:r>
      <w:r w:rsidR="007E14DC" w:rsidRPr="007E14DC">
        <w:rPr>
          <w:rFonts w:cs="Arial"/>
        </w:rPr>
        <w:t>powyżej.</w:t>
      </w:r>
    </w:p>
    <w:p w14:paraId="771FAB53" w14:textId="68103C63" w:rsidR="00EF5ADB" w:rsidRPr="00681C16" w:rsidRDefault="00EF5ADB" w:rsidP="00FF1C5A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681C16">
        <w:rPr>
          <w:rFonts w:cs="Arial"/>
        </w:rPr>
        <w:t xml:space="preserve">W celu niwelowania skutków COVID-19, </w:t>
      </w:r>
      <w:r w:rsidR="00FF1C5A" w:rsidRPr="00681C16">
        <w:rPr>
          <w:rFonts w:cs="Arial"/>
        </w:rPr>
        <w:t xml:space="preserve">Pośrednik </w:t>
      </w:r>
      <w:r w:rsidR="00366F05">
        <w:rPr>
          <w:rFonts w:cs="Arial"/>
        </w:rPr>
        <w:t>posiada możliwość udzielenia Ostatecznemu Odbiorcy:</w:t>
      </w:r>
    </w:p>
    <w:p w14:paraId="6C06B050" w14:textId="44BDD59D" w:rsidR="00366F05" w:rsidRDefault="00366F05" w:rsidP="00366F05">
      <w:pPr>
        <w:pStyle w:val="Poziom2"/>
        <w:numPr>
          <w:ilvl w:val="0"/>
          <w:numId w:val="29"/>
        </w:numPr>
        <w:tabs>
          <w:tab w:val="clear" w:pos="1134"/>
          <w:tab w:val="left" w:pos="1204"/>
        </w:tabs>
        <w:rPr>
          <w:rFonts w:ascii="Calibri" w:hAnsi="Calibri" w:cs="Arial"/>
          <w:sz w:val="24"/>
          <w:szCs w:val="24"/>
        </w:rPr>
      </w:pPr>
      <w:r w:rsidRPr="00D168A6">
        <w:rPr>
          <w:rFonts w:ascii="Calibri" w:hAnsi="Calibri" w:cs="Arial"/>
          <w:sz w:val="24"/>
          <w:szCs w:val="24"/>
        </w:rPr>
        <w:t>dodatkowej</w:t>
      </w:r>
      <w:r>
        <w:rPr>
          <w:rFonts w:ascii="Calibri" w:hAnsi="Calibri" w:cs="Arial"/>
          <w:sz w:val="24"/>
          <w:szCs w:val="24"/>
        </w:rPr>
        <w:t xml:space="preserve"> karencji w spłacie rat kapitałowych, do</w:t>
      </w:r>
      <w:r w:rsidRPr="00D168A6">
        <w:rPr>
          <w:rFonts w:ascii="Calibri" w:hAnsi="Calibri" w:cs="Arial"/>
          <w:sz w:val="24"/>
          <w:szCs w:val="24"/>
        </w:rPr>
        <w:t xml:space="preserve"> 6-miesięc</w:t>
      </w:r>
      <w:r>
        <w:rPr>
          <w:rFonts w:ascii="Calibri" w:hAnsi="Calibri" w:cs="Arial"/>
          <w:sz w:val="24"/>
          <w:szCs w:val="24"/>
        </w:rPr>
        <w:t>y</w:t>
      </w:r>
      <w:r w:rsidRPr="00D168A6">
        <w:rPr>
          <w:rFonts w:ascii="Calibri" w:hAnsi="Calibri" w:cs="Arial"/>
          <w:sz w:val="24"/>
          <w:szCs w:val="24"/>
        </w:rPr>
        <w:t>, z wydłużeniem okresu finansowania (spłaty);</w:t>
      </w:r>
    </w:p>
    <w:p w14:paraId="6A17F893" w14:textId="444DEB77" w:rsidR="00366F05" w:rsidRPr="00366F05" w:rsidRDefault="00366F05" w:rsidP="00366F05">
      <w:pPr>
        <w:pStyle w:val="Poziom2"/>
        <w:numPr>
          <w:ilvl w:val="0"/>
          <w:numId w:val="29"/>
        </w:numPr>
        <w:tabs>
          <w:tab w:val="clear" w:pos="1134"/>
          <w:tab w:val="left" w:pos="1204"/>
        </w:tabs>
        <w:rPr>
          <w:rFonts w:ascii="Calibri" w:hAnsi="Calibri" w:cs="Arial"/>
          <w:sz w:val="24"/>
          <w:szCs w:val="24"/>
        </w:rPr>
      </w:pPr>
      <w:r w:rsidRPr="00D168A6">
        <w:rPr>
          <w:rFonts w:ascii="Calibri" w:hAnsi="Calibri" w:cs="Arial"/>
          <w:sz w:val="24"/>
          <w:szCs w:val="24"/>
        </w:rPr>
        <w:t>wakacji kredytowych na okres</w:t>
      </w:r>
      <w:r>
        <w:rPr>
          <w:rFonts w:ascii="Calibri" w:hAnsi="Calibri" w:cs="Arial"/>
          <w:sz w:val="24"/>
          <w:szCs w:val="24"/>
        </w:rPr>
        <w:t xml:space="preserve"> do</w:t>
      </w:r>
      <w:r w:rsidRPr="00D168A6">
        <w:rPr>
          <w:rFonts w:ascii="Calibri" w:hAnsi="Calibri" w:cs="Arial"/>
          <w:sz w:val="24"/>
          <w:szCs w:val="24"/>
        </w:rPr>
        <w:t xml:space="preserve"> </w:t>
      </w:r>
      <w:r w:rsidRPr="00AC253C">
        <w:rPr>
          <w:rFonts w:ascii="Calibri" w:hAnsi="Calibri" w:cs="Arial"/>
          <w:sz w:val="24"/>
          <w:szCs w:val="24"/>
        </w:rPr>
        <w:t>4 miesięcy</w:t>
      </w:r>
      <w:r w:rsidRPr="00D168A6">
        <w:rPr>
          <w:rFonts w:ascii="Calibri" w:hAnsi="Calibri" w:cs="Arial"/>
          <w:sz w:val="24"/>
          <w:szCs w:val="24"/>
        </w:rPr>
        <w:t xml:space="preserve"> dla spłaty rat kapitałowo-odsetkowych, z wydłużeniem okresu finansowania (spł</w:t>
      </w:r>
      <w:r>
        <w:rPr>
          <w:rFonts w:ascii="Calibri" w:hAnsi="Calibri" w:cs="Arial"/>
          <w:sz w:val="24"/>
          <w:szCs w:val="24"/>
        </w:rPr>
        <w:t>aty) o czas wakacji kredytowych.</w:t>
      </w:r>
    </w:p>
    <w:p w14:paraId="11D5A9F1" w14:textId="6B73F1E9" w:rsidR="00FF1C5A" w:rsidRPr="00366F05" w:rsidRDefault="00FF1C5A" w:rsidP="00366F05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366F05">
        <w:rPr>
          <w:rFonts w:cs="Arial"/>
        </w:rPr>
        <w:t>Możliwości, o których mowa w ust.</w:t>
      </w:r>
      <w:r w:rsidR="00452A04" w:rsidRPr="00366F05">
        <w:rPr>
          <w:rFonts w:cs="Arial"/>
        </w:rPr>
        <w:t xml:space="preserve"> 6</w:t>
      </w:r>
      <w:r w:rsidRPr="00366F05">
        <w:rPr>
          <w:rFonts w:cs="Arial"/>
        </w:rPr>
        <w:t xml:space="preserve"> </w:t>
      </w:r>
      <w:r w:rsidR="00452A04" w:rsidRPr="00366F05">
        <w:rPr>
          <w:rFonts w:cs="Arial"/>
        </w:rPr>
        <w:t>obowiązują</w:t>
      </w:r>
      <w:r w:rsidR="006C3C4E" w:rsidRPr="00366F05">
        <w:rPr>
          <w:rFonts w:cs="Arial"/>
        </w:rPr>
        <w:t xml:space="preserve"> </w:t>
      </w:r>
      <w:r w:rsidR="00452A04" w:rsidRPr="00366F05">
        <w:rPr>
          <w:rFonts w:cs="Arial"/>
        </w:rPr>
        <w:t>do odwołania i</w:t>
      </w:r>
      <w:r w:rsidR="006C3C4E" w:rsidRPr="00366F05">
        <w:rPr>
          <w:rFonts w:cs="Arial"/>
        </w:rPr>
        <w:t> </w:t>
      </w:r>
      <w:r w:rsidRPr="00366F05">
        <w:rPr>
          <w:rFonts w:cs="Arial"/>
        </w:rPr>
        <w:t xml:space="preserve">mogą dotyczyć również pożyczek udzielonych przed wejściem w życie niniejszej </w:t>
      </w:r>
      <w:r w:rsidR="00452A04" w:rsidRPr="00366F05">
        <w:rPr>
          <w:rFonts w:cs="Arial"/>
        </w:rPr>
        <w:t>Karty Produktu</w:t>
      </w:r>
      <w:r w:rsidRPr="00366F05">
        <w:rPr>
          <w:rFonts w:cs="Arial"/>
        </w:rPr>
        <w:t xml:space="preserve">. </w:t>
      </w:r>
    </w:p>
    <w:p w14:paraId="410145A7" w14:textId="77777777" w:rsidR="00EF5ADB" w:rsidRPr="007E14DC" w:rsidRDefault="00EF5ADB" w:rsidP="00EF5ADB">
      <w:pPr>
        <w:pStyle w:val="Akapitzlist"/>
        <w:spacing w:after="120"/>
        <w:contextualSpacing w:val="0"/>
        <w:jc w:val="both"/>
        <w:rPr>
          <w:rFonts w:cs="Arial"/>
        </w:rPr>
      </w:pPr>
    </w:p>
    <w:p w14:paraId="3650241C" w14:textId="1C2B8C90" w:rsidR="009C31C7" w:rsidRPr="005C227A" w:rsidRDefault="009C31C7" w:rsidP="009C31C7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0FFD07E7" w14:textId="61F90C05" w:rsidR="009C31C7" w:rsidRPr="005C227A" w:rsidRDefault="009C31C7" w:rsidP="009C31C7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</w:rPr>
      </w:pPr>
      <w:r w:rsidRPr="005C227A">
        <w:rPr>
          <w:rFonts w:cs="Arial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</w:t>
      </w:r>
      <w:r w:rsidR="001E5192" w:rsidRPr="00F075FF">
        <w:rPr>
          <w:rFonts w:cs="Arial"/>
        </w:rPr>
        <w:t>aną umową Jednostkowej Pożyczki</w:t>
      </w:r>
      <w:r w:rsidRPr="00F075FF">
        <w:rPr>
          <w:rFonts w:cs="Arial"/>
        </w:rPr>
        <w:t>, z</w:t>
      </w:r>
      <w:r w:rsidR="001E5192" w:rsidRPr="00F075FF">
        <w:rPr>
          <w:rFonts w:cs="Arial"/>
        </w:rPr>
        <w:t> </w:t>
      </w:r>
      <w:r w:rsidRPr="00F075FF">
        <w:rPr>
          <w:rFonts w:cs="Arial"/>
        </w:rPr>
        <w:t>zastrzeżeniem, iż</w:t>
      </w:r>
      <w:r w:rsidR="001E5192" w:rsidRPr="007E14DC">
        <w:rPr>
          <w:rFonts w:cs="Arial"/>
        </w:rPr>
        <w:t xml:space="preserve"> </w:t>
      </w:r>
      <w:r w:rsidRPr="007E14DC">
        <w:rPr>
          <w:rFonts w:cs="Arial"/>
        </w:rPr>
        <w:t xml:space="preserve">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7C6663C2" w14:textId="797627F2" w:rsidR="00D7777B" w:rsidRPr="00FA6D5C" w:rsidRDefault="009C31C7" w:rsidP="00FA6D5C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</w:rPr>
      </w:pPr>
      <w:r w:rsidRPr="005C227A">
        <w:rPr>
          <w:rFonts w:cs="Arial"/>
        </w:rPr>
        <w:lastRenderedPageBreak/>
        <w:t>Wydatkowanie środków Jednostkowej Pożyczki musi zostać należycie udokumentowane w</w:t>
      </w:r>
      <w:r w:rsidR="001E5192" w:rsidRPr="005C227A">
        <w:rPr>
          <w:rFonts w:cs="Arial"/>
        </w:rPr>
        <w:t> </w:t>
      </w:r>
      <w:r w:rsidRPr="005C227A">
        <w:rPr>
          <w:rFonts w:cs="Arial"/>
        </w:rPr>
        <w:t xml:space="preserve">terminie do </w:t>
      </w:r>
      <w:r w:rsidR="00567D03" w:rsidRPr="005C227A">
        <w:rPr>
          <w:rFonts w:cs="Arial"/>
        </w:rPr>
        <w:t xml:space="preserve">90 </w:t>
      </w:r>
      <w:r w:rsidRPr="005C227A">
        <w:rPr>
          <w:rFonts w:cs="Arial"/>
        </w:rPr>
        <w:t>dni kalendarzowych od daty jej całkowitej wypłaty do Ostatecznego Odbiorcy. W uzasadnionych przypadkach i na wniosek Ostatecznego Odbiorcy termin ten może ule</w:t>
      </w:r>
      <w:r w:rsidR="00E138AC"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="00567D03" w:rsidRPr="005C227A">
        <w:t xml:space="preserve"> maksymalnie o kolejne 90 dni</w:t>
      </w:r>
      <w:r w:rsidR="00397665" w:rsidRPr="00397665">
        <w:rPr>
          <w:rFonts w:cs="Arial"/>
        </w:rPr>
        <w:t xml:space="preserve"> </w:t>
      </w:r>
      <w:r w:rsidR="00397665" w:rsidRPr="005C227A">
        <w:rPr>
          <w:rFonts w:cs="Arial"/>
        </w:rPr>
        <w:t>ze względu na charakter inwestycji</w:t>
      </w:r>
      <w:r w:rsidRPr="005C227A">
        <w:rPr>
          <w:rFonts w:cs="Arial"/>
        </w:rPr>
        <w:t xml:space="preserve">. Dokumentem potwierdzającym wydatkowanie środków zgodnie z celem, na jaki zostały przyznane jest </w:t>
      </w:r>
      <w:r w:rsidR="005F211E">
        <w:rPr>
          <w:rFonts w:cs="Arial"/>
        </w:rPr>
        <w:t xml:space="preserve">w szczególności </w:t>
      </w:r>
      <w:r w:rsidRPr="005C227A">
        <w:rPr>
          <w:rFonts w:cs="Arial"/>
        </w:rPr>
        <w:t>faktura lub dokument równoważny, w rozumieniu przepisów prawa krajowego.</w:t>
      </w:r>
      <w:r w:rsidR="005C227A" w:rsidRPr="005C227A">
        <w:rPr>
          <w:rFonts w:cs="Arial"/>
        </w:rPr>
        <w:t xml:space="preserve"> </w:t>
      </w:r>
      <w:r w:rsidR="006F76B5" w:rsidRPr="009A0589">
        <w:t>Przedstawione w ramach rozliczenia dokumenty powinny w sposób jednoznaczny potwierdzać, że kwota pożyczki została wykorzystana zgodnie z</w:t>
      </w:r>
      <w:r w:rsidR="00397665">
        <w:t> </w:t>
      </w:r>
      <w:r w:rsidR="006F76B5" w:rsidRPr="009A0589">
        <w:t>przeznaczeniem, na jakie została udzielona.</w:t>
      </w:r>
    </w:p>
    <w:p w14:paraId="2F3E17DE" w14:textId="705861CC" w:rsidR="00D7777B" w:rsidRDefault="00D7777B" w:rsidP="00D7777B">
      <w:pPr>
        <w:pStyle w:val="Akapitzlist"/>
        <w:spacing w:after="120" w:line="23" w:lineRule="atLeast"/>
        <w:contextualSpacing w:val="0"/>
        <w:jc w:val="both"/>
      </w:pPr>
    </w:p>
    <w:p w14:paraId="50D0B644" w14:textId="77777777" w:rsidR="009C31C7" w:rsidRPr="005C227A" w:rsidRDefault="009C31C7" w:rsidP="009C31C7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71ED3C78" w14:textId="7C1741A9" w:rsidR="009C31C7" w:rsidRPr="00F075FF" w:rsidRDefault="009C31C7" w:rsidP="009C31C7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 ramach instrumentu finansowane będą przedsięwzięcia inwestycyjne, na terenie województwa małopolskiego realizowane przez MŚP działające na rynku </w:t>
      </w:r>
      <w:r w:rsidR="00BB3580" w:rsidRPr="005C227A">
        <w:rPr>
          <w:rFonts w:cs="Arial"/>
        </w:rPr>
        <w:t>powyżej</w:t>
      </w:r>
      <w:r w:rsidRPr="005C227A">
        <w:rPr>
          <w:rFonts w:cs="Arial"/>
        </w:rPr>
        <w:t xml:space="preserve"> </w:t>
      </w:r>
      <w:r w:rsidR="00BB3580" w:rsidRPr="005C227A">
        <w:rPr>
          <w:rFonts w:cs="Arial"/>
        </w:rPr>
        <w:t>24</w:t>
      </w:r>
      <w:r w:rsidRPr="005C227A">
        <w:rPr>
          <w:rFonts w:cs="Arial"/>
        </w:rPr>
        <w:t xml:space="preserve"> miesi</w:t>
      </w:r>
      <w:r w:rsidR="002D14E9" w:rsidRPr="005C227A">
        <w:rPr>
          <w:rFonts w:cs="Arial"/>
        </w:rPr>
        <w:t>ęcy</w:t>
      </w:r>
      <w:r w:rsidR="00C87377">
        <w:rPr>
          <w:rStyle w:val="Odwoanieprzypisudolnego"/>
          <w:rFonts w:cs="Arial"/>
        </w:rPr>
        <w:footnoteReference w:id="1"/>
      </w:r>
      <w:r w:rsidRPr="005C227A">
        <w:rPr>
          <w:rFonts w:cs="Arial"/>
        </w:rPr>
        <w:t xml:space="preserve"> mające na celu rozwój/rozb</w:t>
      </w:r>
      <w:r w:rsidRPr="00F075FF">
        <w:rPr>
          <w:rFonts w:cs="Arial"/>
        </w:rPr>
        <w:t>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14:paraId="3535CBC5" w14:textId="75896B05" w:rsidR="009C31C7" w:rsidRPr="00F075FF" w:rsidRDefault="009C31C7" w:rsidP="009C31C7">
      <w:pPr>
        <w:pStyle w:val="Akapitzlist"/>
        <w:numPr>
          <w:ilvl w:val="0"/>
          <w:numId w:val="16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D707ED" w14:textId="77777777" w:rsidR="009C31C7" w:rsidRPr="00F075FF" w:rsidRDefault="009C31C7" w:rsidP="009C31C7">
      <w:pPr>
        <w:pStyle w:val="Akapitzlist"/>
        <w:numPr>
          <w:ilvl w:val="0"/>
          <w:numId w:val="16"/>
        </w:numPr>
        <w:spacing w:after="120" w:line="23" w:lineRule="atLeast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3357F440" w14:textId="77777777" w:rsidR="009C31C7" w:rsidRPr="005C227A" w:rsidRDefault="009C31C7" w:rsidP="009C31C7">
      <w:pPr>
        <w:pStyle w:val="Akapitzlist"/>
        <w:numPr>
          <w:ilvl w:val="0"/>
          <w:numId w:val="16"/>
        </w:numPr>
        <w:spacing w:after="120" w:line="23" w:lineRule="atLeast"/>
        <w:jc w:val="both"/>
        <w:rPr>
          <w:rFonts w:cs="Arial"/>
        </w:rPr>
      </w:pPr>
      <w:r w:rsidRPr="005C227A">
        <w:rPr>
          <w:rFonts w:cs="Arial"/>
        </w:rPr>
        <w:t xml:space="preserve">inwestycje dotyczące stosowania w działalności gospodarczej technologii </w:t>
      </w:r>
      <w:proofErr w:type="spellStart"/>
      <w:r w:rsidRPr="005C227A">
        <w:rPr>
          <w:rFonts w:cs="Arial"/>
        </w:rPr>
        <w:t>informacyjno</w:t>
      </w:r>
      <w:proofErr w:type="spellEnd"/>
      <w:r w:rsidRPr="005C227A">
        <w:rPr>
          <w:rFonts w:cs="Arial"/>
        </w:rPr>
        <w:t xml:space="preserve"> – komunikacyjnych (TIK),</w:t>
      </w:r>
    </w:p>
    <w:p w14:paraId="50421D55" w14:textId="0DDFFCAF" w:rsidR="009C31C7" w:rsidRPr="005C227A" w:rsidRDefault="009C31C7" w:rsidP="009C31C7">
      <w:pPr>
        <w:pStyle w:val="Akapitzlist"/>
        <w:numPr>
          <w:ilvl w:val="0"/>
          <w:numId w:val="16"/>
        </w:numPr>
        <w:spacing w:after="120" w:line="23" w:lineRule="atLeast"/>
        <w:jc w:val="both"/>
        <w:rPr>
          <w:rFonts w:cs="Arial"/>
        </w:rPr>
      </w:pPr>
      <w:r w:rsidRPr="005C227A">
        <w:rPr>
          <w:rFonts w:cs="Arial"/>
        </w:rPr>
        <w:t xml:space="preserve">przedsięwzięcia z zakresu dostosowania istniejących instalacji produkcyjnych do standardów najlepszych dostępnych technik (BAT – </w:t>
      </w:r>
      <w:proofErr w:type="spellStart"/>
      <w:r w:rsidRPr="005C227A">
        <w:rPr>
          <w:rFonts w:cs="Arial"/>
        </w:rPr>
        <w:t>best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available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technology</w:t>
      </w:r>
      <w:proofErr w:type="spellEnd"/>
      <w:r w:rsidRPr="005C227A">
        <w:rPr>
          <w:rFonts w:cs="Arial"/>
        </w:rPr>
        <w:t>) – nowoczesne rozwiązania umożliwiające redukcję kosztów działalności rynkowej w</w:t>
      </w:r>
      <w:r w:rsidR="00C85903"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2E95E499" w14:textId="49057927" w:rsidR="00121A9D" w:rsidRPr="005C227A" w:rsidRDefault="009C31C7" w:rsidP="00121A9D">
      <w:pPr>
        <w:pStyle w:val="Akapitzlist"/>
        <w:numPr>
          <w:ilvl w:val="0"/>
          <w:numId w:val="16"/>
        </w:numPr>
        <w:spacing w:after="120" w:line="23" w:lineRule="atLeast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</w:t>
      </w:r>
      <w:r w:rsidR="00567D03" w:rsidRPr="005C227A">
        <w:rPr>
          <w:rFonts w:cs="Arial"/>
        </w:rPr>
        <w:t>,</w:t>
      </w:r>
      <w:r w:rsidRPr="005C227A">
        <w:rPr>
          <w:rFonts w:cs="Arial"/>
        </w:rPr>
        <w:t xml:space="preserve"> iż będzie powiązane z działalnością inwestycyjną i dalszą ekspansją przedsiębiorstwa oraz zgodne z wytycznymi KE w tym zakresie.</w:t>
      </w:r>
    </w:p>
    <w:p w14:paraId="34B396E8" w14:textId="77777777" w:rsidR="009C31C7" w:rsidRPr="005C227A" w:rsidRDefault="009C31C7" w:rsidP="009C31C7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 w:line="23" w:lineRule="atLeast"/>
        <w:jc w:val="both"/>
        <w:rPr>
          <w:rFonts w:cs="Arial"/>
        </w:rPr>
      </w:pPr>
      <w:r w:rsidRPr="005C227A">
        <w:rPr>
          <w:rFonts w:cs="Arial"/>
        </w:rPr>
        <w:t>Udział Jednostkowej Pożyczki w koszcie realizowanego przedsięwzięcia może stanowić do 100% jego wartości.</w:t>
      </w:r>
    </w:p>
    <w:p w14:paraId="6F3CC6D6" w14:textId="77777777" w:rsidR="00121A9D" w:rsidRPr="005C227A" w:rsidRDefault="00121A9D" w:rsidP="00121A9D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</w:rPr>
      </w:pPr>
    </w:p>
    <w:p w14:paraId="5081CB7D" w14:textId="77777777" w:rsidR="00121A9D" w:rsidRPr="005C227A" w:rsidRDefault="00121A9D" w:rsidP="00121A9D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1E685D81" w14:textId="77777777" w:rsidR="00121A9D" w:rsidRPr="00F075FF" w:rsidRDefault="00121A9D" w:rsidP="00121A9D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24D7ECFD" w14:textId="221F0B3A" w:rsidR="00121A9D" w:rsidRPr="00F075FF" w:rsidRDefault="00121A9D" w:rsidP="00121A9D">
      <w:pPr>
        <w:pStyle w:val="Akapitzlist"/>
        <w:numPr>
          <w:ilvl w:val="0"/>
          <w:numId w:val="22"/>
        </w:numPr>
        <w:spacing w:after="120" w:line="23" w:lineRule="atLeast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 w:rsidR="008550EB"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 w:rsidR="008550EB"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 w:rsidR="008550EB">
        <w:rPr>
          <w:rFonts w:cs="Arial"/>
        </w:rPr>
        <w:t>S</w:t>
      </w:r>
      <w:r w:rsidRPr="00F075FF">
        <w:rPr>
          <w:rFonts w:cs="Arial"/>
        </w:rPr>
        <w:t>pecjalizacji</w:t>
      </w:r>
      <w:r w:rsidR="005141A6">
        <w:rPr>
          <w:rFonts w:cs="Arial"/>
        </w:rPr>
        <w:t xml:space="preserve"> (wykaz dostępny u Pośrednika Finansowego)</w:t>
      </w:r>
    </w:p>
    <w:p w14:paraId="0AAB788F" w14:textId="703B9591" w:rsidR="00121A9D" w:rsidRPr="00F075FF" w:rsidRDefault="00121A9D" w:rsidP="00121A9D">
      <w:pPr>
        <w:pStyle w:val="Akapitzlist"/>
        <w:numPr>
          <w:ilvl w:val="0"/>
          <w:numId w:val="22"/>
        </w:numPr>
        <w:spacing w:after="120" w:line="23" w:lineRule="atLeast"/>
        <w:ind w:left="993" w:hanging="426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 w:rsidR="00084974">
        <w:rPr>
          <w:rStyle w:val="Odwoanieprzypisudolnego"/>
          <w:rFonts w:cs="Arial"/>
        </w:rPr>
        <w:footnoteReference w:id="2"/>
      </w:r>
      <w:r w:rsidR="005141A6">
        <w:rPr>
          <w:rFonts w:cs="Arial"/>
        </w:rPr>
        <w:t xml:space="preserve"> (wykaz dostępny u Pośrednika Finansowego</w:t>
      </w:r>
    </w:p>
    <w:p w14:paraId="33C3E677" w14:textId="77777777" w:rsidR="009C31C7" w:rsidRPr="00F075FF" w:rsidRDefault="009C31C7" w:rsidP="009C31C7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highlight w:val="yellow"/>
        </w:rPr>
      </w:pPr>
    </w:p>
    <w:p w14:paraId="3BAE7B2C" w14:textId="77777777" w:rsidR="009C31C7" w:rsidRPr="00F075FF" w:rsidRDefault="009C31C7" w:rsidP="009C31C7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2FB81CDB" w14:textId="77777777" w:rsidR="009C31C7" w:rsidRPr="00F075FF" w:rsidRDefault="009C31C7" w:rsidP="00F075FF">
      <w:pPr>
        <w:pStyle w:val="Akapitzlist"/>
        <w:numPr>
          <w:ilvl w:val="0"/>
          <w:numId w:val="4"/>
        </w:numPr>
        <w:spacing w:after="120" w:line="23" w:lineRule="atLeast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4537B72E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finansowanie wydatków pokrytych uprzednio ze środków EFSI, z innych funduszy, programów, środków i instrumentów Unii Europejskiej lub innych źródeł pomocy krajowej lub zagranicznej,</w:t>
      </w:r>
    </w:p>
    <w:p w14:paraId="057B2D57" w14:textId="0A96B404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</w:t>
      </w:r>
      <w:r w:rsidR="00F075FF" w:rsidRPr="00F075FF">
        <w:rPr>
          <w:rFonts w:cs="Arial"/>
        </w:rPr>
        <w:t xml:space="preserve"> w pełni zrealizowane</w:t>
      </w:r>
      <w:r w:rsidRPr="00F075FF">
        <w:rPr>
          <w:rFonts w:cs="Arial"/>
        </w:rPr>
        <w:t>;</w:t>
      </w:r>
    </w:p>
    <w:p w14:paraId="61871CF9" w14:textId="77777777" w:rsidR="009C31C7" w:rsidRPr="00F075FF" w:rsidRDefault="009C31C7" w:rsidP="00F075FF">
      <w:pPr>
        <w:pStyle w:val="Akapitzlist"/>
        <w:numPr>
          <w:ilvl w:val="0"/>
          <w:numId w:val="25"/>
        </w:numPr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176F6968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spłatę zobowiązań </w:t>
      </w:r>
      <w:proofErr w:type="spellStart"/>
      <w:r w:rsidRPr="00F075FF">
        <w:rPr>
          <w:rFonts w:cs="Arial"/>
        </w:rPr>
        <w:t>publiczno</w:t>
      </w:r>
      <w:proofErr w:type="spellEnd"/>
      <w:r w:rsidRPr="00F075FF">
        <w:rPr>
          <w:rFonts w:cs="Arial"/>
        </w:rPr>
        <w:t xml:space="preserve"> – prawnych Ostatecznego Odbiorcy,</w:t>
      </w:r>
    </w:p>
    <w:p w14:paraId="282B724E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3D8F3AD4" w14:textId="1518BC31" w:rsidR="00D12C6C" w:rsidRPr="00F075FF" w:rsidRDefault="00D12C6C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zakupu udziałów lub akcji innego przedsiębiorstwa;</w:t>
      </w:r>
    </w:p>
    <w:p w14:paraId="25CCE4AB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406D2ECA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37A8DDD7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64534E81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AF79D0D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3850F508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14D510BF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4CF024E3" w14:textId="77777777" w:rsidR="009C31C7" w:rsidRPr="00F075FF" w:rsidRDefault="009C31C7" w:rsidP="00F075FF">
      <w:pPr>
        <w:pStyle w:val="Akapitzlist"/>
        <w:numPr>
          <w:ilvl w:val="0"/>
          <w:numId w:val="25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3FFAE1BD" w14:textId="77777777" w:rsidR="009C31C7" w:rsidRPr="00F075FF" w:rsidRDefault="009C31C7" w:rsidP="009C31C7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16B2EE73" w14:textId="6652C769" w:rsidR="009C31C7" w:rsidRPr="00F075FF" w:rsidRDefault="009C31C7" w:rsidP="009C31C7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 w:rsidR="007B0744"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69725CA2" w14:textId="12D1BD55" w:rsidR="009C31C7" w:rsidRPr="00F075FF" w:rsidRDefault="009C31C7" w:rsidP="009C31C7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Jedno przedsiębiorstwo może otrzymać w ramach przyznanego Limitu Pożyczki nie więcej niż dwie Jednostkowe Pożyczki</w:t>
      </w:r>
      <w:r w:rsidR="00567D03" w:rsidRPr="00F075FF">
        <w:rPr>
          <w:rFonts w:cs="Arial"/>
        </w:rPr>
        <w:t>.</w:t>
      </w:r>
      <w:r w:rsidRPr="00F075FF">
        <w:rPr>
          <w:rFonts w:cs="Arial"/>
        </w:rPr>
        <w:t xml:space="preserve"> </w:t>
      </w:r>
    </w:p>
    <w:p w14:paraId="390C3CEC" w14:textId="77777777" w:rsidR="00121A9D" w:rsidRPr="00F075FF" w:rsidRDefault="00121A9D" w:rsidP="00121A9D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2589F171" w14:textId="77777777" w:rsidR="00121A9D" w:rsidRPr="00F075FF" w:rsidRDefault="00121A9D" w:rsidP="00121A9D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 przez Pośrednika Finansowego mogą być oprocentowane:</w:t>
      </w:r>
    </w:p>
    <w:p w14:paraId="38004F5F" w14:textId="3970B3AD" w:rsidR="00121A9D" w:rsidRPr="00F075FF" w:rsidRDefault="00121A9D" w:rsidP="00121A9D">
      <w:pPr>
        <w:pStyle w:val="Akapitzlist"/>
        <w:numPr>
          <w:ilvl w:val="0"/>
          <w:numId w:val="23"/>
        </w:numPr>
        <w:spacing w:after="120" w:line="23" w:lineRule="atLeast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</w:t>
      </w:r>
      <w:r w:rsidR="00AA17C4" w:rsidRPr="00F075FF">
        <w:rPr>
          <w:rFonts w:cs="Arial"/>
          <w:bCs/>
        </w:rPr>
        <w:t>znaczania współczynnika ryzyka.</w:t>
      </w:r>
    </w:p>
    <w:p w14:paraId="1D8333A7" w14:textId="77777777" w:rsidR="00AA17C4" w:rsidRPr="00F075FF" w:rsidRDefault="00AA17C4" w:rsidP="00AA17C4">
      <w:pPr>
        <w:spacing w:after="120" w:line="23" w:lineRule="atLeast"/>
        <w:ind w:left="993"/>
        <w:jc w:val="both"/>
        <w:rPr>
          <w:b/>
        </w:rPr>
      </w:pPr>
      <w:r w:rsidRPr="00F075FF">
        <w:rPr>
          <w:b/>
        </w:rPr>
        <w:t xml:space="preserve">Stopa bazowa publikowana jest przez Komisję Europejską w dzienniku Urzędowym Unii Europejskiej i dostępna jest na stronie: </w:t>
      </w:r>
    </w:p>
    <w:p w14:paraId="4D615823" w14:textId="72284C2A" w:rsidR="00AA17C4" w:rsidRPr="00F075FF" w:rsidRDefault="00F6716B" w:rsidP="00FD1405">
      <w:pPr>
        <w:pStyle w:val="Akapitzlist"/>
        <w:numPr>
          <w:ilvl w:val="2"/>
          <w:numId w:val="23"/>
        </w:numPr>
        <w:spacing w:after="120" w:line="23" w:lineRule="atLeast"/>
        <w:ind w:left="1701" w:hanging="425"/>
        <w:contextualSpacing w:val="0"/>
        <w:jc w:val="both"/>
      </w:pPr>
      <w:hyperlink r:id="rId8" w:history="1">
        <w:r w:rsidR="006105C5" w:rsidRPr="006105C5">
          <w:rPr>
            <w:rStyle w:val="Hipercze"/>
          </w:rPr>
          <w:t>http://ec.europa.eu/competition/state_aid/legislation/reference_rates.html</w:t>
        </w:r>
      </w:hyperlink>
    </w:p>
    <w:p w14:paraId="2A7F1670" w14:textId="77777777" w:rsidR="00AA17C4" w:rsidRPr="00F075FF" w:rsidRDefault="00AA17C4" w:rsidP="00FD1405">
      <w:pPr>
        <w:pStyle w:val="Akapitzlist"/>
        <w:spacing w:after="120" w:line="23" w:lineRule="atLeast"/>
        <w:ind w:left="1353"/>
        <w:contextualSpacing w:val="0"/>
        <w:jc w:val="both"/>
      </w:pPr>
      <w:r w:rsidRPr="00F075FF">
        <w:t>oraz</w:t>
      </w:r>
    </w:p>
    <w:p w14:paraId="688C8F24" w14:textId="77777777" w:rsidR="00AA17C4" w:rsidRPr="00F075FF" w:rsidRDefault="00F6716B" w:rsidP="00FD1405">
      <w:pPr>
        <w:pStyle w:val="Akapitzlist"/>
        <w:numPr>
          <w:ilvl w:val="2"/>
          <w:numId w:val="23"/>
        </w:numPr>
        <w:spacing w:after="120" w:line="23" w:lineRule="atLeast"/>
        <w:ind w:left="1701" w:hanging="425"/>
        <w:contextualSpacing w:val="0"/>
        <w:jc w:val="both"/>
      </w:pPr>
      <w:hyperlink r:id="rId9" w:history="1">
        <w:r w:rsidR="00AA17C4" w:rsidRPr="00F075FF">
          <w:rPr>
            <w:rStyle w:val="Hipercze"/>
          </w:rPr>
          <w:t>https://uokik.gov.pl/stopa_referencyjna_i_archiwum.php</w:t>
        </w:r>
      </w:hyperlink>
    </w:p>
    <w:p w14:paraId="735C4AB7" w14:textId="77777777" w:rsidR="00AA17C4" w:rsidRPr="00F075FF" w:rsidRDefault="00AA17C4" w:rsidP="00FD1405">
      <w:pPr>
        <w:spacing w:after="120" w:line="23" w:lineRule="atLeast"/>
        <w:ind w:left="993"/>
        <w:jc w:val="both"/>
        <w:rPr>
          <w:b/>
        </w:rPr>
      </w:pPr>
      <w:r w:rsidRPr="00F075FF">
        <w:rPr>
          <w:b/>
        </w:rPr>
        <w:t>Marża jest ustalana w następujący sposób: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1493"/>
        <w:gridCol w:w="1541"/>
        <w:gridCol w:w="1348"/>
      </w:tblGrid>
      <w:tr w:rsidR="00AA17C4" w:rsidRPr="00F075FF" w14:paraId="64722745" w14:textId="77777777" w:rsidTr="00036E86">
        <w:trPr>
          <w:trHeight w:val="270"/>
        </w:trPr>
        <w:tc>
          <w:tcPr>
            <w:tcW w:w="8313" w:type="dxa"/>
            <w:gridSpan w:val="4"/>
            <w:vAlign w:val="center"/>
          </w:tcPr>
          <w:p w14:paraId="36AB4B3D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  <w:rPr>
                <w:b/>
              </w:rPr>
            </w:pPr>
            <w:r w:rsidRPr="00F075FF">
              <w:rPr>
                <w:b/>
              </w:rPr>
              <w:t>Marża kredytów w punktach bazowych</w:t>
            </w:r>
          </w:p>
        </w:tc>
      </w:tr>
      <w:tr w:rsidR="00AA17C4" w:rsidRPr="00F075FF" w14:paraId="169D91CD" w14:textId="77777777" w:rsidTr="00036E86">
        <w:trPr>
          <w:trHeight w:val="330"/>
        </w:trPr>
        <w:tc>
          <w:tcPr>
            <w:tcW w:w="3777" w:type="dxa"/>
            <w:vMerge w:val="restart"/>
            <w:vAlign w:val="center"/>
          </w:tcPr>
          <w:p w14:paraId="0A59602E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  <w:rPr>
                <w:b/>
              </w:rPr>
            </w:pPr>
            <w:r w:rsidRPr="00F075FF">
              <w:rPr>
                <w:b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14:paraId="21CB7D95" w14:textId="77777777" w:rsidR="00AA17C4" w:rsidRPr="00F075FF" w:rsidRDefault="00AA17C4" w:rsidP="00036E86">
            <w:pPr>
              <w:pStyle w:val="Akapitzlist"/>
              <w:spacing w:after="120" w:line="23" w:lineRule="atLeast"/>
              <w:ind w:left="0"/>
              <w:jc w:val="center"/>
              <w:rPr>
                <w:b/>
              </w:rPr>
            </w:pPr>
            <w:r w:rsidRPr="00F075FF">
              <w:rPr>
                <w:b/>
              </w:rPr>
              <w:t>Poziom zabezpieczeń</w:t>
            </w:r>
          </w:p>
        </w:tc>
      </w:tr>
      <w:tr w:rsidR="00AA17C4" w:rsidRPr="00F075FF" w14:paraId="191ED00F" w14:textId="77777777" w:rsidTr="00036E86">
        <w:trPr>
          <w:trHeight w:val="291"/>
        </w:trPr>
        <w:tc>
          <w:tcPr>
            <w:tcW w:w="3777" w:type="dxa"/>
            <w:vMerge/>
            <w:vAlign w:val="center"/>
          </w:tcPr>
          <w:p w14:paraId="35EF22B1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12A323" w14:textId="77777777" w:rsidR="00AA17C4" w:rsidRPr="00F075FF" w:rsidRDefault="00AA17C4" w:rsidP="00036E86">
            <w:pPr>
              <w:pStyle w:val="Akapitzlist"/>
              <w:spacing w:after="120" w:line="23" w:lineRule="atLeast"/>
              <w:ind w:left="0"/>
              <w:jc w:val="center"/>
              <w:rPr>
                <w:b/>
              </w:rPr>
            </w:pPr>
            <w:r w:rsidRPr="00F075FF">
              <w:rPr>
                <w:b/>
              </w:rPr>
              <w:t>Wysoki</w:t>
            </w:r>
          </w:p>
        </w:tc>
        <w:tc>
          <w:tcPr>
            <w:tcW w:w="1559" w:type="dxa"/>
            <w:vAlign w:val="center"/>
          </w:tcPr>
          <w:p w14:paraId="10095075" w14:textId="77777777" w:rsidR="00AA17C4" w:rsidRPr="00F075FF" w:rsidRDefault="00AA17C4" w:rsidP="00036E86">
            <w:pPr>
              <w:pStyle w:val="Akapitzlist"/>
              <w:spacing w:after="120" w:line="23" w:lineRule="atLeast"/>
              <w:ind w:left="0"/>
              <w:jc w:val="center"/>
              <w:rPr>
                <w:b/>
              </w:rPr>
            </w:pPr>
            <w:r w:rsidRPr="00F075FF">
              <w:rPr>
                <w:b/>
              </w:rPr>
              <w:t>Standardowy</w:t>
            </w:r>
          </w:p>
        </w:tc>
        <w:tc>
          <w:tcPr>
            <w:tcW w:w="1418" w:type="dxa"/>
            <w:vAlign w:val="center"/>
          </w:tcPr>
          <w:p w14:paraId="50604AB5" w14:textId="77777777" w:rsidR="00AA17C4" w:rsidRPr="00F075FF" w:rsidRDefault="00AA17C4" w:rsidP="00036E86">
            <w:pPr>
              <w:pStyle w:val="Akapitzlist"/>
              <w:spacing w:after="120" w:line="23" w:lineRule="atLeast"/>
              <w:ind w:left="0"/>
              <w:jc w:val="center"/>
              <w:rPr>
                <w:b/>
              </w:rPr>
            </w:pPr>
            <w:r w:rsidRPr="00F075FF">
              <w:rPr>
                <w:b/>
              </w:rPr>
              <w:t>Niski</w:t>
            </w:r>
          </w:p>
        </w:tc>
      </w:tr>
      <w:tr w:rsidR="00AA17C4" w:rsidRPr="00F075FF" w14:paraId="13FCA122" w14:textId="77777777" w:rsidTr="00036E86">
        <w:trPr>
          <w:trHeight w:val="315"/>
        </w:trPr>
        <w:tc>
          <w:tcPr>
            <w:tcW w:w="3777" w:type="dxa"/>
          </w:tcPr>
          <w:p w14:paraId="4E207BCE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both"/>
            </w:pPr>
            <w:r w:rsidRPr="00F075FF">
              <w:t>Wysoki (AAA-A)</w:t>
            </w:r>
          </w:p>
        </w:tc>
        <w:tc>
          <w:tcPr>
            <w:tcW w:w="1559" w:type="dxa"/>
            <w:vAlign w:val="center"/>
          </w:tcPr>
          <w:p w14:paraId="4F3A7C0E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60</w:t>
            </w:r>
          </w:p>
        </w:tc>
        <w:tc>
          <w:tcPr>
            <w:tcW w:w="1559" w:type="dxa"/>
            <w:vAlign w:val="center"/>
          </w:tcPr>
          <w:p w14:paraId="11B60659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75</w:t>
            </w:r>
          </w:p>
        </w:tc>
        <w:tc>
          <w:tcPr>
            <w:tcW w:w="1418" w:type="dxa"/>
            <w:vAlign w:val="center"/>
          </w:tcPr>
          <w:p w14:paraId="0F1E2EF8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100</w:t>
            </w:r>
          </w:p>
        </w:tc>
      </w:tr>
      <w:tr w:rsidR="00AA17C4" w:rsidRPr="00F075FF" w14:paraId="6A1BF91A" w14:textId="77777777" w:rsidTr="00036E86">
        <w:trPr>
          <w:trHeight w:val="164"/>
        </w:trPr>
        <w:tc>
          <w:tcPr>
            <w:tcW w:w="3777" w:type="dxa"/>
          </w:tcPr>
          <w:p w14:paraId="5DBE624D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both"/>
            </w:pPr>
            <w:r w:rsidRPr="00F075FF">
              <w:t>Dobry (BBB)</w:t>
            </w:r>
          </w:p>
        </w:tc>
        <w:tc>
          <w:tcPr>
            <w:tcW w:w="1559" w:type="dxa"/>
            <w:vAlign w:val="center"/>
          </w:tcPr>
          <w:p w14:paraId="6BCE12B7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75</w:t>
            </w:r>
          </w:p>
        </w:tc>
        <w:tc>
          <w:tcPr>
            <w:tcW w:w="1559" w:type="dxa"/>
            <w:vAlign w:val="center"/>
          </w:tcPr>
          <w:p w14:paraId="5BB0E227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100</w:t>
            </w:r>
          </w:p>
        </w:tc>
        <w:tc>
          <w:tcPr>
            <w:tcW w:w="1418" w:type="dxa"/>
            <w:vAlign w:val="center"/>
          </w:tcPr>
          <w:p w14:paraId="2BE0CCC2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220</w:t>
            </w:r>
          </w:p>
        </w:tc>
      </w:tr>
      <w:tr w:rsidR="00AA17C4" w:rsidRPr="00F075FF" w14:paraId="7E6215FB" w14:textId="77777777" w:rsidTr="00036E86">
        <w:trPr>
          <w:trHeight w:val="149"/>
        </w:trPr>
        <w:tc>
          <w:tcPr>
            <w:tcW w:w="3777" w:type="dxa"/>
          </w:tcPr>
          <w:p w14:paraId="4E30575A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both"/>
            </w:pPr>
            <w:r w:rsidRPr="00F075FF">
              <w:t>Zadowalający (BB)</w:t>
            </w:r>
          </w:p>
        </w:tc>
        <w:tc>
          <w:tcPr>
            <w:tcW w:w="1559" w:type="dxa"/>
            <w:vAlign w:val="center"/>
          </w:tcPr>
          <w:p w14:paraId="2F93E9AB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100</w:t>
            </w:r>
          </w:p>
        </w:tc>
        <w:tc>
          <w:tcPr>
            <w:tcW w:w="1559" w:type="dxa"/>
            <w:vAlign w:val="center"/>
          </w:tcPr>
          <w:p w14:paraId="58781405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220</w:t>
            </w:r>
          </w:p>
        </w:tc>
        <w:tc>
          <w:tcPr>
            <w:tcW w:w="1418" w:type="dxa"/>
            <w:vAlign w:val="center"/>
          </w:tcPr>
          <w:p w14:paraId="11A4E7EC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400</w:t>
            </w:r>
          </w:p>
        </w:tc>
      </w:tr>
      <w:tr w:rsidR="00AA17C4" w:rsidRPr="00F075FF" w14:paraId="3F6802D0" w14:textId="77777777" w:rsidTr="00036E86">
        <w:trPr>
          <w:trHeight w:val="225"/>
        </w:trPr>
        <w:tc>
          <w:tcPr>
            <w:tcW w:w="3777" w:type="dxa"/>
          </w:tcPr>
          <w:p w14:paraId="13F248CE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both"/>
            </w:pPr>
            <w:r w:rsidRPr="00F075FF">
              <w:t>Niski (B)</w:t>
            </w:r>
          </w:p>
        </w:tc>
        <w:tc>
          <w:tcPr>
            <w:tcW w:w="1559" w:type="dxa"/>
            <w:vAlign w:val="center"/>
          </w:tcPr>
          <w:p w14:paraId="50DFBBA9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220</w:t>
            </w:r>
          </w:p>
        </w:tc>
        <w:tc>
          <w:tcPr>
            <w:tcW w:w="1559" w:type="dxa"/>
            <w:vAlign w:val="center"/>
          </w:tcPr>
          <w:p w14:paraId="322F1E68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400</w:t>
            </w:r>
          </w:p>
        </w:tc>
        <w:tc>
          <w:tcPr>
            <w:tcW w:w="1418" w:type="dxa"/>
            <w:vAlign w:val="center"/>
          </w:tcPr>
          <w:p w14:paraId="54AE57B8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650</w:t>
            </w:r>
          </w:p>
        </w:tc>
      </w:tr>
      <w:tr w:rsidR="00AA17C4" w:rsidRPr="00F075FF" w14:paraId="3C4A9919" w14:textId="77777777" w:rsidTr="00036E86">
        <w:trPr>
          <w:trHeight w:val="225"/>
        </w:trPr>
        <w:tc>
          <w:tcPr>
            <w:tcW w:w="3777" w:type="dxa"/>
          </w:tcPr>
          <w:p w14:paraId="1440BEA8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</w:pPr>
            <w:r w:rsidRPr="00F075FF">
              <w:t>Zły/Trudności finansowe (CCC i poniżej)</w:t>
            </w:r>
          </w:p>
        </w:tc>
        <w:tc>
          <w:tcPr>
            <w:tcW w:w="1559" w:type="dxa"/>
            <w:vAlign w:val="center"/>
          </w:tcPr>
          <w:p w14:paraId="12DEE563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400</w:t>
            </w:r>
          </w:p>
        </w:tc>
        <w:tc>
          <w:tcPr>
            <w:tcW w:w="1559" w:type="dxa"/>
            <w:vAlign w:val="center"/>
          </w:tcPr>
          <w:p w14:paraId="0C12BCD7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650</w:t>
            </w:r>
          </w:p>
        </w:tc>
        <w:tc>
          <w:tcPr>
            <w:tcW w:w="1418" w:type="dxa"/>
            <w:vAlign w:val="center"/>
          </w:tcPr>
          <w:p w14:paraId="45E34E96" w14:textId="77777777" w:rsidR="00AA17C4" w:rsidRPr="00F075FF" w:rsidRDefault="00AA17C4" w:rsidP="00036E86">
            <w:pPr>
              <w:pStyle w:val="Akapitzlist"/>
              <w:spacing w:after="120" w:line="23" w:lineRule="atLeast"/>
              <w:ind w:left="37"/>
              <w:jc w:val="center"/>
            </w:pPr>
            <w:r w:rsidRPr="00F075FF">
              <w:t>1000</w:t>
            </w:r>
          </w:p>
        </w:tc>
      </w:tr>
    </w:tbl>
    <w:p w14:paraId="14E02E4C" w14:textId="77777777" w:rsidR="00AA17C4" w:rsidRPr="00F075FF" w:rsidRDefault="00AA17C4" w:rsidP="00852AC6">
      <w:pPr>
        <w:pStyle w:val="Akapitzlist"/>
        <w:spacing w:after="120" w:line="23" w:lineRule="atLeast"/>
        <w:ind w:left="1353"/>
        <w:jc w:val="both"/>
      </w:pPr>
    </w:p>
    <w:p w14:paraId="775CE7C2" w14:textId="77777777" w:rsidR="00AA17C4" w:rsidRPr="00F075FF" w:rsidRDefault="00AA17C4" w:rsidP="00852AC6">
      <w:pPr>
        <w:pStyle w:val="Akapitzlist"/>
        <w:spacing w:after="120" w:line="23" w:lineRule="atLeast"/>
        <w:ind w:left="1353" w:right="141"/>
        <w:jc w:val="both"/>
      </w:pPr>
      <w:r w:rsidRPr="00F075FF">
        <w:t xml:space="preserve">Pod pojęciem „standardowy poziom zabezpieczeń” należy rozumieć poziom zabezpieczeń, jakiego zwyczajowo wymagają instytucje finansowe z tytułu gwarancji dla udzielanych kredytów. </w:t>
      </w:r>
    </w:p>
    <w:p w14:paraId="30E314E0" w14:textId="77777777" w:rsidR="00852AC6" w:rsidRPr="00F075FF" w:rsidRDefault="00852AC6" w:rsidP="00852AC6">
      <w:pPr>
        <w:pStyle w:val="Akapitzlist"/>
        <w:spacing w:after="120" w:line="23" w:lineRule="atLeast"/>
        <w:ind w:left="1353" w:right="141"/>
        <w:jc w:val="both"/>
      </w:pPr>
    </w:p>
    <w:p w14:paraId="4233E8A0" w14:textId="03C88ABA" w:rsidR="00AA17C4" w:rsidRPr="00F075FF" w:rsidRDefault="00AA17C4" w:rsidP="00852AC6">
      <w:pPr>
        <w:pStyle w:val="Akapitzlist"/>
        <w:spacing w:after="120" w:line="23" w:lineRule="atLeast"/>
        <w:ind w:left="1353" w:right="141"/>
        <w:jc w:val="both"/>
      </w:pPr>
      <w:r w:rsidRPr="00F075FF">
        <w:t>Poziom zabezpieczeń może być mierzony jako strata z tytułu niewywiązywania się z</w:t>
      </w:r>
      <w:r w:rsidR="00C85903">
        <w:t> </w:t>
      </w:r>
      <w:r w:rsidRPr="00F075FF">
        <w:t xml:space="preserve">płatności (ang. </w:t>
      </w:r>
      <w:proofErr w:type="spellStart"/>
      <w:r w:rsidRPr="00F075FF">
        <w:t>Loss</w:t>
      </w:r>
      <w:proofErr w:type="spellEnd"/>
      <w:r w:rsidRPr="00F075FF">
        <w:t xml:space="preserve"> </w:t>
      </w:r>
      <w:proofErr w:type="spellStart"/>
      <w:r w:rsidRPr="00F075FF">
        <w:t>Given</w:t>
      </w:r>
      <w:proofErr w:type="spellEnd"/>
      <w:r w:rsidRPr="00F075FF">
        <w:t xml:space="preserve"> </w:t>
      </w:r>
      <w:proofErr w:type="spellStart"/>
      <w:r w:rsidRPr="00F075FF">
        <w:t>Default</w:t>
      </w:r>
      <w:proofErr w:type="spellEnd"/>
      <w:r w:rsidRPr="00F075FF">
        <w:t xml:space="preserve"> — LGD), czyli oczekiwana, wyrażona w</w:t>
      </w:r>
      <w:r w:rsidR="00C85903">
        <w:t> </w:t>
      </w:r>
      <w:r w:rsidRPr="00F075FF">
        <w:t>procentach strata w łącznej kwocie kredytu dłużnika, przy uwzględnieniu możliwych do odzyskania kwot pochodzących z zabezpieczeń i masy upadłościowej; w konsekwencji LGD jest odwrotnie proporcjonalne do ważności zabezpieczeń.</w:t>
      </w:r>
    </w:p>
    <w:p w14:paraId="12A4943E" w14:textId="77777777" w:rsidR="00852AC6" w:rsidRPr="00F075FF" w:rsidRDefault="00852AC6" w:rsidP="00852AC6">
      <w:pPr>
        <w:pStyle w:val="Akapitzlist"/>
        <w:spacing w:after="120" w:line="23" w:lineRule="atLeast"/>
        <w:ind w:left="1353" w:right="141"/>
        <w:jc w:val="both"/>
      </w:pPr>
    </w:p>
    <w:p w14:paraId="5C701239" w14:textId="77777777" w:rsidR="00AA17C4" w:rsidRPr="00F075FF" w:rsidRDefault="00AA17C4" w:rsidP="00852AC6">
      <w:pPr>
        <w:pStyle w:val="Akapitzlist"/>
        <w:spacing w:after="120" w:line="23" w:lineRule="atLeast"/>
        <w:ind w:left="1353" w:right="141"/>
        <w:jc w:val="both"/>
      </w:pPr>
      <w:r w:rsidRPr="00F075FF"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14:paraId="4ED7D136" w14:textId="77777777" w:rsidR="00852AC6" w:rsidRPr="00F075FF" w:rsidRDefault="00852AC6" w:rsidP="00852AC6">
      <w:pPr>
        <w:pStyle w:val="Akapitzlist"/>
        <w:spacing w:after="120" w:line="23" w:lineRule="atLeast"/>
        <w:ind w:left="1353" w:right="141"/>
        <w:jc w:val="both"/>
      </w:pPr>
    </w:p>
    <w:p w14:paraId="5277F537" w14:textId="79D7A1DD" w:rsidR="00AA17C4" w:rsidRPr="00F075FF" w:rsidRDefault="00AA17C4" w:rsidP="00852AC6">
      <w:pPr>
        <w:pStyle w:val="Akapitzlist"/>
        <w:spacing w:after="120" w:line="23" w:lineRule="atLeast"/>
        <w:ind w:left="1353" w:right="141"/>
        <w:jc w:val="both"/>
      </w:pPr>
      <w:r w:rsidRPr="00F075FF">
        <w:t>W odniesieniu do kredytobiorców, którzy nie mają historii kredytowej lub ratingu opartego o podejście bilansowe, jak niektóre spółki specjalnego przeznaczenia lub nowoutworzone przedsiębiorstwa, stopa bazowa powinna być zwiększona o</w:t>
      </w:r>
      <w:r w:rsidR="00C85903">
        <w:t> </w:t>
      </w:r>
      <w:r w:rsidRPr="00F075FF">
        <w:t>przynajmniej 400 punktów bazowych (zależnie od dostępnych zabezpieczeń), a</w:t>
      </w:r>
      <w:r w:rsidR="00C85903">
        <w:t> </w:t>
      </w:r>
      <w:r w:rsidRPr="00F075FF">
        <w:t>marża nigdy nie może być niższa niż marża, która zostałaby zastosowana w</w:t>
      </w:r>
      <w:r w:rsidR="00C85903">
        <w:t> </w:t>
      </w:r>
      <w:r w:rsidRPr="00F075FF">
        <w:t>odniesieniu do spółki dominującej.</w:t>
      </w:r>
    </w:p>
    <w:p w14:paraId="4881D16B" w14:textId="77777777" w:rsidR="00852AC6" w:rsidRPr="00F075FF" w:rsidRDefault="00852AC6" w:rsidP="00852AC6">
      <w:pPr>
        <w:pStyle w:val="Akapitzlist"/>
        <w:spacing w:after="120" w:line="23" w:lineRule="atLeast"/>
        <w:ind w:left="1353" w:right="141"/>
        <w:jc w:val="both"/>
      </w:pPr>
    </w:p>
    <w:p w14:paraId="2E0B0511" w14:textId="60698CA6" w:rsidR="00AA17C4" w:rsidRPr="00F075FF" w:rsidRDefault="00AA17C4" w:rsidP="00852AC6">
      <w:pPr>
        <w:pStyle w:val="Akapitzlist"/>
        <w:spacing w:after="120" w:line="23" w:lineRule="atLeast"/>
        <w:ind w:left="1353" w:right="141"/>
        <w:jc w:val="both"/>
      </w:pPr>
      <w:r w:rsidRPr="00F075FF">
        <w:t>Rating nie musi pochodzić z konkretnych agencji ratingowych — akceptowane są również krajowe systemy ratingowe lub systemy ratingowe stosowane przez banki w</w:t>
      </w:r>
      <w:r w:rsidR="00C85903">
        <w:t> </w:t>
      </w:r>
      <w:r w:rsidRPr="00F075FF">
        <w:t>celu odzwierciedlenia wskaźników niewypłacalności.</w:t>
      </w:r>
    </w:p>
    <w:p w14:paraId="33A9B8EF" w14:textId="77777777" w:rsidR="00AA17C4" w:rsidRPr="00F075FF" w:rsidRDefault="00AA17C4" w:rsidP="00AA17C4">
      <w:pPr>
        <w:spacing w:after="120" w:line="23" w:lineRule="atLeast"/>
        <w:jc w:val="both"/>
        <w:rPr>
          <w:rFonts w:cs="Arial"/>
        </w:rPr>
      </w:pPr>
    </w:p>
    <w:p w14:paraId="7EF1C8BF" w14:textId="4C45B5C3" w:rsidR="00121A9D" w:rsidRPr="00F075FF" w:rsidRDefault="00121A9D" w:rsidP="00121A9D">
      <w:pPr>
        <w:pStyle w:val="Akapitzlist"/>
        <w:numPr>
          <w:ilvl w:val="0"/>
          <w:numId w:val="23"/>
        </w:numPr>
        <w:spacing w:after="120" w:line="23" w:lineRule="atLeast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  <w:i/>
        </w:rPr>
        <w:t xml:space="preserve">, </w:t>
      </w:r>
      <w:r w:rsidRPr="00F075FF">
        <w:rPr>
          <w:rFonts w:cs="Arial"/>
        </w:rPr>
        <w:t xml:space="preserve">o których mowa w </w:t>
      </w:r>
      <w:r w:rsidRPr="00F075FF">
        <w:rPr>
          <w:rFonts w:cs="Arial"/>
          <w:i/>
        </w:rPr>
        <w:t xml:space="preserve">Rozporządzeniu Komisji  (UE) nr 1407/2013 z dnia 18 grudnia 2013 r. w sprawie stosowania art. 107 i 108 Traktatu o funkcjonowaniu Unii Europejskiej do pomocy 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  <w:i/>
        </w:rPr>
        <w:t xml:space="preserve"> </w:t>
      </w:r>
      <w:r w:rsidRPr="00F075FF">
        <w:rPr>
          <w:rFonts w:cs="Arial"/>
        </w:rPr>
        <w:t xml:space="preserve">oraz </w:t>
      </w:r>
      <w:r w:rsidRPr="00F075FF">
        <w:rPr>
          <w:rFonts w:cs="Arial"/>
          <w:i/>
        </w:rPr>
        <w:t xml:space="preserve">Rozporządzenia Ministra Infrastruktury i Rozwoju z dnia 19 marca 2015 r. w sprawie udzielania pomocy 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  <w:i/>
        </w:rPr>
        <w:t xml:space="preserve"> w ramach regionalnych programów operacyjnych na lata 2014–2020 (</w:t>
      </w:r>
      <w:r w:rsidRPr="00F075FF">
        <w:rPr>
          <w:rFonts w:cs="Arial"/>
        </w:rPr>
        <w:t>Dz.U. 2015 poz. 488 z późniejszymi zmianami).</w:t>
      </w:r>
      <w:r w:rsidRPr="00F075FF">
        <w:rPr>
          <w:rFonts w:cs="Arial"/>
          <w:i/>
        </w:rPr>
        <w:t xml:space="preserve"> </w:t>
      </w:r>
      <w:r w:rsidRPr="00F075FF">
        <w:rPr>
          <w:rFonts w:cs="Arial"/>
        </w:rPr>
        <w:t xml:space="preserve">W </w:t>
      </w:r>
      <w:r w:rsidRPr="00F075FF">
        <w:rPr>
          <w:rFonts w:cs="Arial"/>
        </w:rPr>
        <w:lastRenderedPageBreak/>
        <w:t xml:space="preserve">przypadku wystąpienia pomocy w formie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</w:rPr>
        <w:t xml:space="preserve"> 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 </w:t>
      </w:r>
    </w:p>
    <w:p w14:paraId="1CAF5467" w14:textId="20CFCBA0" w:rsidR="00121A9D" w:rsidRPr="00FD1D5D" w:rsidRDefault="00121A9D" w:rsidP="00AC6EEE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Oprocentowanie Jednostkowej Pożyczki udzielanej na zasadach korzystniejszych niż rynkowe jest stałe w całym okresie jej obowiązywania </w:t>
      </w:r>
      <w:r w:rsidR="00595856" w:rsidRPr="00F075FF">
        <w:rPr>
          <w:rFonts w:cs="Arial"/>
        </w:rPr>
        <w:t>i ustalane jest w wysokości stopy bazowej</w:t>
      </w:r>
      <w:r w:rsidR="0064050B">
        <w:rPr>
          <w:rFonts w:cs="Arial"/>
        </w:rPr>
        <w:t xml:space="preserve"> z dnia udzielenia Jednostkowej Pożyczki</w:t>
      </w:r>
      <w:r w:rsidR="000B6FD5">
        <w:rPr>
          <w:rFonts w:cs="Arial"/>
        </w:rPr>
        <w:t xml:space="preserve">, </w:t>
      </w:r>
      <w:r w:rsidR="000B6FD5" w:rsidRPr="00CA6748">
        <w:rPr>
          <w:rFonts w:cs="Arial"/>
        </w:rPr>
        <w:t>dla przedsiębiorców działających w obszarach preferencji</w:t>
      </w:r>
      <w:r w:rsidR="000B6FD5">
        <w:rPr>
          <w:rFonts w:cs="Arial"/>
        </w:rPr>
        <w:t xml:space="preserve">, </w:t>
      </w:r>
      <w:r w:rsidR="00B21378">
        <w:rPr>
          <w:rFonts w:cs="Arial"/>
        </w:rPr>
        <w:t>o których mowa</w:t>
      </w:r>
      <w:r w:rsidR="000B6FD5">
        <w:rPr>
          <w:rFonts w:cs="Arial"/>
        </w:rPr>
        <w:t xml:space="preserve"> w pkt</w:t>
      </w:r>
      <w:r w:rsidR="00B21378">
        <w:rPr>
          <w:rFonts w:cs="Arial"/>
        </w:rPr>
        <w:t>.</w:t>
      </w:r>
      <w:r w:rsidR="000B6FD5">
        <w:rPr>
          <w:rFonts w:cs="Arial"/>
        </w:rPr>
        <w:t xml:space="preserve"> IV,</w:t>
      </w:r>
      <w:r w:rsidR="00595856" w:rsidRPr="0064050B">
        <w:rPr>
          <w:rFonts w:cs="Arial"/>
        </w:rPr>
        <w:t xml:space="preserve"> </w:t>
      </w:r>
      <w:r w:rsidR="000B6FD5">
        <w:rPr>
          <w:rFonts w:cs="Arial"/>
        </w:rPr>
        <w:t>p</w:t>
      </w:r>
      <w:r w:rsidR="00595856" w:rsidRPr="0064050B">
        <w:rPr>
          <w:rFonts w:cs="Arial"/>
        </w:rPr>
        <w:t xml:space="preserve">rzy czym wysokość stopy bazowej </w:t>
      </w:r>
      <w:r w:rsidR="00595856" w:rsidRPr="00F075FF">
        <w:rPr>
          <w:rFonts w:cs="Arial"/>
        </w:rPr>
        <w:t xml:space="preserve">określona jest zgodnie </w:t>
      </w:r>
      <w:r w:rsidR="00595856" w:rsidRPr="00FD1D5D">
        <w:rPr>
          <w:rFonts w:cs="Arial"/>
        </w:rPr>
        <w:t>z Komunikatem Komisji Europejskiej nr 2008/C 14/0</w:t>
      </w:r>
      <w:r w:rsidR="00595856" w:rsidRPr="005420A0">
        <w:rPr>
          <w:rFonts w:cs="Arial"/>
        </w:rPr>
        <w:t>2, o którym mowa w pkt</w:t>
      </w:r>
      <w:r w:rsidR="00B21378">
        <w:rPr>
          <w:rFonts w:cs="Arial"/>
        </w:rPr>
        <w:t>.</w:t>
      </w:r>
      <w:r w:rsidR="00595856" w:rsidRPr="005420A0">
        <w:rPr>
          <w:rFonts w:cs="Arial"/>
        </w:rPr>
        <w:t xml:space="preserve"> </w:t>
      </w:r>
      <w:r w:rsidR="00B21378">
        <w:rPr>
          <w:rFonts w:cs="Arial"/>
        </w:rPr>
        <w:t>VII.</w:t>
      </w:r>
      <w:r w:rsidR="000F62EB" w:rsidRPr="005420A0">
        <w:rPr>
          <w:rFonts w:cs="Arial"/>
        </w:rPr>
        <w:t>1</w:t>
      </w:r>
      <w:r w:rsidR="00B21378">
        <w:rPr>
          <w:rFonts w:cs="Arial"/>
        </w:rPr>
        <w:t>.</w:t>
      </w:r>
      <w:r w:rsidR="00C85903">
        <w:rPr>
          <w:rFonts w:cs="Arial"/>
        </w:rPr>
        <w:t>a</w:t>
      </w:r>
      <w:r w:rsidR="00595856" w:rsidRPr="00FD1D5D">
        <w:rPr>
          <w:rFonts w:cs="Arial"/>
        </w:rPr>
        <w:t>) powyżej.</w:t>
      </w:r>
    </w:p>
    <w:p w14:paraId="48FFF8BC" w14:textId="77777777" w:rsidR="00121A9D" w:rsidRPr="005420A0" w:rsidRDefault="00121A9D" w:rsidP="00121A9D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</w:rPr>
      </w:pPr>
      <w:r w:rsidRPr="005420A0">
        <w:rPr>
          <w:rFonts w:cs="Arial"/>
        </w:rPr>
        <w:t xml:space="preserve">W przypadku niespełnienia przez Ostatecznego Odbiorcę jakiegokolwiek z warunków umożliwiających udzielenie pomocy de </w:t>
      </w:r>
      <w:proofErr w:type="spellStart"/>
      <w:r w:rsidRPr="005420A0">
        <w:rPr>
          <w:rFonts w:cs="Arial"/>
        </w:rPr>
        <w:t>minimis</w:t>
      </w:r>
      <w:proofErr w:type="spellEnd"/>
      <w:r w:rsidRPr="005420A0">
        <w:rPr>
          <w:rFonts w:cs="Arial"/>
        </w:rPr>
        <w:t xml:space="preserve"> finansowanie jest udzielane na zasadach rynkowych.</w:t>
      </w:r>
    </w:p>
    <w:p w14:paraId="0DF33330" w14:textId="48C66528" w:rsidR="00852AC6" w:rsidRPr="005420A0" w:rsidRDefault="00595856" w:rsidP="00595856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</w:rPr>
      </w:pPr>
      <w:r w:rsidRPr="005420A0">
        <w:rPr>
          <w:rFonts w:cs="Arial"/>
        </w:rPr>
        <w:t xml:space="preserve">Za udzielenie i obsługę </w:t>
      </w:r>
      <w:r w:rsidR="00121A9D" w:rsidRPr="005420A0">
        <w:rPr>
          <w:rFonts w:cs="Arial"/>
        </w:rPr>
        <w:t>Jednostkowej Pożyczki nie pobiera się żadnych opłat i prowizji</w:t>
      </w:r>
      <w:r w:rsidRPr="005420A0">
        <w:rPr>
          <w:rFonts w:cs="Arial"/>
        </w:rPr>
        <w:t>.</w:t>
      </w:r>
      <w:r w:rsidR="00121A9D" w:rsidRPr="005420A0">
        <w:rPr>
          <w:rFonts w:cs="Arial"/>
        </w:rPr>
        <w:t xml:space="preserve"> Powyższe nie dotyczy odrębnie uregulowanych czynności windykacyjnych.</w:t>
      </w:r>
    </w:p>
    <w:sectPr w:rsidR="00852AC6" w:rsidRPr="005420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8EFF" w14:textId="77777777" w:rsidR="00CE5061" w:rsidRDefault="00CE5061" w:rsidP="00BA3860">
      <w:pPr>
        <w:spacing w:after="0" w:line="240" w:lineRule="auto"/>
      </w:pPr>
      <w:r>
        <w:separator/>
      </w:r>
    </w:p>
  </w:endnote>
  <w:endnote w:type="continuationSeparator" w:id="0">
    <w:p w14:paraId="0783383C" w14:textId="77777777" w:rsidR="00CE5061" w:rsidRDefault="00CE5061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2EB04B" w14:textId="5A710586" w:rsidR="00234075" w:rsidRDefault="00234075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3CEDC956" wp14:editId="0951B20D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4BCFDBB4" w:rsidR="00C147F2" w:rsidRDefault="00C147F2" w:rsidP="00234075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3A1E86">
              <w:rPr>
                <w:bCs/>
                <w:noProof/>
              </w:rPr>
              <w:t>1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3A1E86">
              <w:rPr>
                <w:bCs/>
                <w:noProof/>
              </w:rPr>
              <w:t>5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01D9" w14:textId="77777777" w:rsidR="00CE5061" w:rsidRDefault="00CE5061" w:rsidP="00BA3860">
      <w:pPr>
        <w:spacing w:after="0" w:line="240" w:lineRule="auto"/>
      </w:pPr>
      <w:r>
        <w:separator/>
      </w:r>
    </w:p>
  </w:footnote>
  <w:footnote w:type="continuationSeparator" w:id="0">
    <w:p w14:paraId="6CB92D08" w14:textId="77777777" w:rsidR="00CE5061" w:rsidRDefault="00CE5061" w:rsidP="00BA3860">
      <w:pPr>
        <w:spacing w:after="0" w:line="240" w:lineRule="auto"/>
      </w:pPr>
      <w:r>
        <w:continuationSeparator/>
      </w:r>
    </w:p>
  </w:footnote>
  <w:footnote w:id="1">
    <w:p w14:paraId="233EE536" w14:textId="1E9E5360" w:rsidR="00C87377" w:rsidRDefault="00C87377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 w:rsidR="00D7777B"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14:paraId="38E5D4FC" w14:textId="2FCCC463" w:rsidR="00084974" w:rsidRDefault="00084974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A74D" w14:textId="364A4DF4" w:rsidR="00DC313E" w:rsidRDefault="008D6E70" w:rsidP="008D6E70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793205FD" wp14:editId="3876E12C">
          <wp:simplePos x="0" y="0"/>
          <wp:positionH relativeFrom="column">
            <wp:posOffset>5114925</wp:posOffset>
          </wp:positionH>
          <wp:positionV relativeFrom="paragraph">
            <wp:posOffset>8890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07138A5" wp14:editId="5229CC08">
          <wp:extent cx="704850" cy="609600"/>
          <wp:effectExtent l="19050" t="0" r="0" b="0"/>
          <wp:docPr id="3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580"/>
    <w:multiLevelType w:val="hybridMultilevel"/>
    <w:tmpl w:val="814E00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040C025A"/>
    <w:multiLevelType w:val="hybridMultilevel"/>
    <w:tmpl w:val="D3B2D31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7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21"/>
  </w:num>
  <w:num w:numId="10">
    <w:abstractNumId w:val="28"/>
  </w:num>
  <w:num w:numId="11">
    <w:abstractNumId w:val="4"/>
  </w:num>
  <w:num w:numId="12">
    <w:abstractNumId w:val="27"/>
  </w:num>
  <w:num w:numId="13">
    <w:abstractNumId w:val="17"/>
  </w:num>
  <w:num w:numId="14">
    <w:abstractNumId w:val="6"/>
  </w:num>
  <w:num w:numId="15">
    <w:abstractNumId w:val="5"/>
  </w:num>
  <w:num w:numId="16">
    <w:abstractNumId w:val="19"/>
  </w:num>
  <w:num w:numId="17">
    <w:abstractNumId w:val="26"/>
  </w:num>
  <w:num w:numId="18">
    <w:abstractNumId w:val="25"/>
  </w:num>
  <w:num w:numId="19">
    <w:abstractNumId w:val="9"/>
  </w:num>
  <w:num w:numId="20">
    <w:abstractNumId w:val="12"/>
  </w:num>
  <w:num w:numId="21">
    <w:abstractNumId w:val="15"/>
  </w:num>
  <w:num w:numId="22">
    <w:abstractNumId w:val="10"/>
  </w:num>
  <w:num w:numId="23">
    <w:abstractNumId w:val="22"/>
  </w:num>
  <w:num w:numId="24">
    <w:abstractNumId w:val="14"/>
  </w:num>
  <w:num w:numId="25">
    <w:abstractNumId w:val="18"/>
  </w:num>
  <w:num w:numId="26">
    <w:abstractNumId w:val="0"/>
  </w:num>
  <w:num w:numId="27">
    <w:abstractNumId w:val="24"/>
  </w:num>
  <w:num w:numId="28">
    <w:abstractNumId w:val="2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05AB6"/>
    <w:rsid w:val="000120A7"/>
    <w:rsid w:val="00013256"/>
    <w:rsid w:val="00033D61"/>
    <w:rsid w:val="000378CD"/>
    <w:rsid w:val="000402B4"/>
    <w:rsid w:val="00055219"/>
    <w:rsid w:val="000710BD"/>
    <w:rsid w:val="00084974"/>
    <w:rsid w:val="00097D21"/>
    <w:rsid w:val="000A602D"/>
    <w:rsid w:val="000B60CD"/>
    <w:rsid w:val="000B6FD5"/>
    <w:rsid w:val="000C0C7F"/>
    <w:rsid w:val="000C1D62"/>
    <w:rsid w:val="000C3F38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7D0C"/>
    <w:rsid w:val="00216CDB"/>
    <w:rsid w:val="00220E6E"/>
    <w:rsid w:val="00234075"/>
    <w:rsid w:val="002341C7"/>
    <w:rsid w:val="00240F7F"/>
    <w:rsid w:val="00243BEF"/>
    <w:rsid w:val="00244AC4"/>
    <w:rsid w:val="0025622D"/>
    <w:rsid w:val="00257186"/>
    <w:rsid w:val="002612FF"/>
    <w:rsid w:val="00270495"/>
    <w:rsid w:val="00286819"/>
    <w:rsid w:val="002B6A7C"/>
    <w:rsid w:val="002D14E9"/>
    <w:rsid w:val="002D15C3"/>
    <w:rsid w:val="002D1C48"/>
    <w:rsid w:val="002E0530"/>
    <w:rsid w:val="002F3CFD"/>
    <w:rsid w:val="003077F0"/>
    <w:rsid w:val="0031356C"/>
    <w:rsid w:val="00316BD3"/>
    <w:rsid w:val="00320FBD"/>
    <w:rsid w:val="00340025"/>
    <w:rsid w:val="003408A3"/>
    <w:rsid w:val="0035342F"/>
    <w:rsid w:val="003562D8"/>
    <w:rsid w:val="00366F05"/>
    <w:rsid w:val="00375439"/>
    <w:rsid w:val="0038795D"/>
    <w:rsid w:val="00387A25"/>
    <w:rsid w:val="00397665"/>
    <w:rsid w:val="003A1E86"/>
    <w:rsid w:val="003C1B34"/>
    <w:rsid w:val="003F30BE"/>
    <w:rsid w:val="004113EB"/>
    <w:rsid w:val="0044270C"/>
    <w:rsid w:val="00452A04"/>
    <w:rsid w:val="00452B0E"/>
    <w:rsid w:val="00460485"/>
    <w:rsid w:val="00480ADE"/>
    <w:rsid w:val="004851DD"/>
    <w:rsid w:val="00486BD1"/>
    <w:rsid w:val="004A39CD"/>
    <w:rsid w:val="004A7D6F"/>
    <w:rsid w:val="004C6971"/>
    <w:rsid w:val="004D6CDD"/>
    <w:rsid w:val="004F07E9"/>
    <w:rsid w:val="004F4478"/>
    <w:rsid w:val="00501E63"/>
    <w:rsid w:val="005034D1"/>
    <w:rsid w:val="005141A6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40C4"/>
    <w:rsid w:val="00595856"/>
    <w:rsid w:val="005A09A4"/>
    <w:rsid w:val="005A3992"/>
    <w:rsid w:val="005A41DA"/>
    <w:rsid w:val="005B36AB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7948"/>
    <w:rsid w:val="00671C14"/>
    <w:rsid w:val="00672E84"/>
    <w:rsid w:val="00675EC4"/>
    <w:rsid w:val="00681C16"/>
    <w:rsid w:val="006839E1"/>
    <w:rsid w:val="006856FE"/>
    <w:rsid w:val="006867BF"/>
    <w:rsid w:val="006A6960"/>
    <w:rsid w:val="006C3C4E"/>
    <w:rsid w:val="006C69EF"/>
    <w:rsid w:val="006D1BB3"/>
    <w:rsid w:val="006E3D31"/>
    <w:rsid w:val="006F6543"/>
    <w:rsid w:val="006F76B5"/>
    <w:rsid w:val="007133F1"/>
    <w:rsid w:val="007153D4"/>
    <w:rsid w:val="00730601"/>
    <w:rsid w:val="007349B7"/>
    <w:rsid w:val="0074173C"/>
    <w:rsid w:val="007418CD"/>
    <w:rsid w:val="00744A05"/>
    <w:rsid w:val="00750129"/>
    <w:rsid w:val="0075044C"/>
    <w:rsid w:val="00756775"/>
    <w:rsid w:val="007678C3"/>
    <w:rsid w:val="0077154A"/>
    <w:rsid w:val="00790C57"/>
    <w:rsid w:val="00793B17"/>
    <w:rsid w:val="007A3065"/>
    <w:rsid w:val="007A3B55"/>
    <w:rsid w:val="007B0744"/>
    <w:rsid w:val="007E14DC"/>
    <w:rsid w:val="007E5E4E"/>
    <w:rsid w:val="007F3476"/>
    <w:rsid w:val="007F762C"/>
    <w:rsid w:val="00804689"/>
    <w:rsid w:val="00817FA8"/>
    <w:rsid w:val="00835117"/>
    <w:rsid w:val="00851171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7B41"/>
    <w:rsid w:val="008A11D4"/>
    <w:rsid w:val="008A7825"/>
    <w:rsid w:val="008C5A74"/>
    <w:rsid w:val="008D6546"/>
    <w:rsid w:val="008D6E70"/>
    <w:rsid w:val="008E3C6E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C9F"/>
    <w:rsid w:val="00974E3F"/>
    <w:rsid w:val="0098172F"/>
    <w:rsid w:val="0098437E"/>
    <w:rsid w:val="0098739F"/>
    <w:rsid w:val="00987B33"/>
    <w:rsid w:val="009B44EA"/>
    <w:rsid w:val="009C17A6"/>
    <w:rsid w:val="009C31C7"/>
    <w:rsid w:val="009D1915"/>
    <w:rsid w:val="009D2AA9"/>
    <w:rsid w:val="009D337C"/>
    <w:rsid w:val="009D5C0C"/>
    <w:rsid w:val="009D5EA3"/>
    <w:rsid w:val="009F1B63"/>
    <w:rsid w:val="009F7B16"/>
    <w:rsid w:val="00A1317B"/>
    <w:rsid w:val="00A17029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2137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6D49"/>
    <w:rsid w:val="00BC506F"/>
    <w:rsid w:val="00BD601F"/>
    <w:rsid w:val="00BD7CDE"/>
    <w:rsid w:val="00BD7D4C"/>
    <w:rsid w:val="00C02D1A"/>
    <w:rsid w:val="00C040E3"/>
    <w:rsid w:val="00C147F2"/>
    <w:rsid w:val="00C257CD"/>
    <w:rsid w:val="00C34975"/>
    <w:rsid w:val="00C35A73"/>
    <w:rsid w:val="00C40EB6"/>
    <w:rsid w:val="00C47D98"/>
    <w:rsid w:val="00C546D4"/>
    <w:rsid w:val="00C55797"/>
    <w:rsid w:val="00C85903"/>
    <w:rsid w:val="00C87377"/>
    <w:rsid w:val="00C87529"/>
    <w:rsid w:val="00C94198"/>
    <w:rsid w:val="00C94CB0"/>
    <w:rsid w:val="00CB0854"/>
    <w:rsid w:val="00CB09F8"/>
    <w:rsid w:val="00CC1E53"/>
    <w:rsid w:val="00CE36D6"/>
    <w:rsid w:val="00CE5061"/>
    <w:rsid w:val="00D00AFC"/>
    <w:rsid w:val="00D01E03"/>
    <w:rsid w:val="00D03F56"/>
    <w:rsid w:val="00D04DB1"/>
    <w:rsid w:val="00D06864"/>
    <w:rsid w:val="00D1037A"/>
    <w:rsid w:val="00D12C6C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504D"/>
    <w:rsid w:val="00E65A46"/>
    <w:rsid w:val="00E709B6"/>
    <w:rsid w:val="00EB2075"/>
    <w:rsid w:val="00EB44FA"/>
    <w:rsid w:val="00EB696A"/>
    <w:rsid w:val="00EB77BD"/>
    <w:rsid w:val="00EC3622"/>
    <w:rsid w:val="00EC7A90"/>
    <w:rsid w:val="00ED1DA8"/>
    <w:rsid w:val="00ED33BE"/>
    <w:rsid w:val="00EE07F6"/>
    <w:rsid w:val="00EE2193"/>
    <w:rsid w:val="00EF5ADB"/>
    <w:rsid w:val="00EF5F4D"/>
    <w:rsid w:val="00F0447C"/>
    <w:rsid w:val="00F075FF"/>
    <w:rsid w:val="00F116EF"/>
    <w:rsid w:val="00F25628"/>
    <w:rsid w:val="00F27EAE"/>
    <w:rsid w:val="00F348B2"/>
    <w:rsid w:val="00F60DBF"/>
    <w:rsid w:val="00F6716B"/>
    <w:rsid w:val="00F80E0C"/>
    <w:rsid w:val="00F84B8F"/>
    <w:rsid w:val="00F92B94"/>
    <w:rsid w:val="00F9370D"/>
    <w:rsid w:val="00F93926"/>
    <w:rsid w:val="00FA59AB"/>
    <w:rsid w:val="00FA6D5C"/>
    <w:rsid w:val="00FB10B5"/>
    <w:rsid w:val="00FB141F"/>
    <w:rsid w:val="00FB2DCE"/>
    <w:rsid w:val="00FC6481"/>
    <w:rsid w:val="00FD069E"/>
    <w:rsid w:val="00FD1405"/>
    <w:rsid w:val="00FD1D5D"/>
    <w:rsid w:val="00FD211A"/>
    <w:rsid w:val="00FF1C5A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BD137"/>
  <w15:docId w15:val="{3A764B77-8A84-495B-9D6D-3B82A97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FF1C5A"/>
  </w:style>
  <w:style w:type="paragraph" w:customStyle="1" w:styleId="Poziom2">
    <w:name w:val="Poziom2"/>
    <w:basedOn w:val="Normalny"/>
    <w:link w:val="Poziom2Znak"/>
    <w:uiPriority w:val="99"/>
    <w:rsid w:val="00366F05"/>
    <w:pPr>
      <w:numPr>
        <w:ilvl w:val="1"/>
        <w:numId w:val="27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366F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A87B-C553-401E-A261-463FB2E3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Marciniec, Rafał</cp:lastModifiedBy>
  <cp:revision>2</cp:revision>
  <cp:lastPrinted>2020-04-24T18:30:00Z</cp:lastPrinted>
  <dcterms:created xsi:type="dcterms:W3CDTF">2020-04-28T08:54:00Z</dcterms:created>
  <dcterms:modified xsi:type="dcterms:W3CDTF">2020-04-28T08:54:00Z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agaje1@bank.com.pl</vt:lpwstr>
  </property>
  <property fmtid="{D5CDD505-2E9C-101B-9397-08002B2CF9AE}" pid="6" name="MSIP_Label_ffd642cb-f5ac-4f9c-8f91-3377ed972e0d_SetDate">
    <vt:lpwstr>2020-04-24T15:44:48.4742386+02:00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Ref">
    <vt:lpwstr>https://api.informationprotection.azure.com/api/29bb5b9c-200a-4906-89ef-c651c86ab301</vt:lpwstr>
  </property>
  <property fmtid="{D5CDD505-2E9C-101B-9397-08002B2CF9AE}" pid="13" name="MSIP_Label_52a0fa98-7deb-4b97-a58b-3087d9cf6647_Owner">
    <vt:lpwstr>agaje1@bank.com.pl</vt:lpwstr>
  </property>
  <property fmtid="{D5CDD505-2E9C-101B-9397-08002B2CF9AE}" pid="14" name="MSIP_Label_52a0fa98-7deb-4b97-a58b-3087d9cf6647_SetDate">
    <vt:lpwstr>2020-04-24T15:44:48.4742386+02:00</vt:lpwstr>
  </property>
  <property fmtid="{D5CDD505-2E9C-101B-9397-08002B2CF9AE}" pid="15" name="MSIP_Label_52a0fa98-7deb-4b97-a58b-3087d9cf6647_Name">
    <vt:lpwstr>Ograniczony dostęp</vt:lpwstr>
  </property>
  <property fmtid="{D5CDD505-2E9C-101B-9397-08002B2CF9AE}" pid="16" name="MSIP_Label_52a0fa98-7deb-4b97-a58b-3087d9cf6647_Application">
    <vt:lpwstr>Microsoft Azure Information Protection</vt:lpwstr>
  </property>
  <property fmtid="{D5CDD505-2E9C-101B-9397-08002B2CF9AE}" pid="17" name="MSIP_Label_52a0fa98-7deb-4b97-a58b-3087d9cf6647_Extended_MSFT_Method">
    <vt:lpwstr>Manual</vt:lpwstr>
  </property>
  <property fmtid="{D5CDD505-2E9C-101B-9397-08002B2CF9AE}" pid="18" name="MSIP_Label_52a0fa98-7deb-4b97-a58b-3087d9cf6647_Parent">
    <vt:lpwstr>ffd642cb-f5ac-4f9c-8f91-3377ed972e0d</vt:lpwstr>
  </property>
  <property fmtid="{D5CDD505-2E9C-101B-9397-08002B2CF9AE}" pid="19" name="Sensitivity">
    <vt:lpwstr>Wewnętrzne Ograniczony dostęp</vt:lpwstr>
  </property>
</Properties>
</file>