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52F2F" w14:textId="77777777" w:rsidR="00B54D5F" w:rsidRPr="000B0027" w:rsidRDefault="00B54D5F" w:rsidP="00B54D5F">
      <w:pPr>
        <w:jc w:val="both"/>
        <w:rPr>
          <w:i/>
        </w:rPr>
      </w:pPr>
      <w:r w:rsidRPr="000B0027">
        <w:rPr>
          <w:i/>
        </w:rPr>
        <w:t>Załącznik nr 6 do Regulaminu - Regulaminu rekrutacji i uczestnictwa w projekcie „Małopolskie Bony Rozwojowe plus” na lata  2020-2022</w:t>
      </w:r>
    </w:p>
    <w:p w14:paraId="24BFBC33" w14:textId="77777777" w:rsidR="00B54D5F" w:rsidRPr="000B0027" w:rsidRDefault="00B54D5F" w:rsidP="00B54D5F">
      <w:pPr>
        <w:jc w:val="both"/>
        <w:rPr>
          <w:i/>
        </w:rPr>
      </w:pPr>
    </w:p>
    <w:p w14:paraId="6AA3A4C0" w14:textId="2200BF2E" w:rsidR="00B54D5F" w:rsidRPr="000B0027" w:rsidRDefault="00B54D5F" w:rsidP="00B54D5F">
      <w:pPr>
        <w:jc w:val="center"/>
        <w:rPr>
          <w:b/>
        </w:rPr>
      </w:pPr>
      <w:r w:rsidRPr="000B0027">
        <w:rPr>
          <w:b/>
        </w:rPr>
        <w:t xml:space="preserve">Regulamin </w:t>
      </w:r>
      <w:bookmarkStart w:id="0" w:name="_Hlk518910975"/>
      <w:r w:rsidRPr="000B0027">
        <w:rPr>
          <w:b/>
        </w:rPr>
        <w:t xml:space="preserve">rozliczania </w:t>
      </w:r>
      <w:r w:rsidR="00FF69C3">
        <w:rPr>
          <w:b/>
        </w:rPr>
        <w:t>u</w:t>
      </w:r>
      <w:r w:rsidRPr="000B0027">
        <w:rPr>
          <w:b/>
        </w:rPr>
        <w:t>sług z wykorzystaniem elektronicznych bonów rozwojowych w ramach projektu „Małopolskie Bony Rozwojowe</w:t>
      </w:r>
      <w:bookmarkEnd w:id="0"/>
      <w:r w:rsidRPr="000B0027">
        <w:rPr>
          <w:b/>
        </w:rPr>
        <w:t xml:space="preserve"> plus”</w:t>
      </w:r>
    </w:p>
    <w:p w14:paraId="22F4563F" w14:textId="77777777" w:rsidR="00B54D5F" w:rsidRPr="000B0027" w:rsidRDefault="00B54D5F" w:rsidP="00B54D5F">
      <w:pPr>
        <w:spacing w:before="240"/>
        <w:jc w:val="center"/>
        <w:rPr>
          <w:b/>
        </w:rPr>
      </w:pPr>
      <w:r w:rsidRPr="000B0027">
        <w:rPr>
          <w:b/>
        </w:rPr>
        <w:t>§ 1</w:t>
      </w:r>
    </w:p>
    <w:p w14:paraId="129D6DAE" w14:textId="77777777" w:rsidR="00B54D5F" w:rsidRPr="000B0027" w:rsidRDefault="00B54D5F" w:rsidP="00B54D5F">
      <w:pPr>
        <w:rPr>
          <w:b/>
        </w:rPr>
      </w:pPr>
      <w:r w:rsidRPr="000B0027">
        <w:rPr>
          <w:b/>
        </w:rPr>
        <w:t xml:space="preserve"> Ilekroć w Regulaminie jest mowa o : </w:t>
      </w:r>
    </w:p>
    <w:p w14:paraId="3C8567EE" w14:textId="6D4949D3"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sidDel="00705016">
        <w:rPr>
          <w:b/>
          <w:color w:val="000000"/>
        </w:rPr>
        <w:t xml:space="preserve"> </w:t>
      </w:r>
      <w:r w:rsidRPr="000B0027">
        <w:rPr>
          <w:b/>
          <w:bCs/>
          <w:color w:val="000000"/>
        </w:rPr>
        <w:t>Bazie Usług Rozwojowych (zwanej w dalej BUR)</w:t>
      </w:r>
      <w:r w:rsidRPr="000B0027">
        <w:rPr>
          <w:bCs/>
          <w:color w:val="000000"/>
        </w:rPr>
        <w:t xml:space="preserve"> – należy przez to rozumieć system informatyczny udostępniony przez PARP na stronie internetowej: </w:t>
      </w:r>
      <w:hyperlink r:id="rId9" w:history="1">
        <w:r w:rsidRPr="000B0027">
          <w:rPr>
            <w:rStyle w:val="Hipercze"/>
            <w:bCs/>
            <w:color w:val="000000"/>
          </w:rPr>
          <w:t>https://uslugirozwojowe.parp.gov.pl/</w:t>
        </w:r>
      </w:hyperlink>
      <w:r w:rsidRPr="000B0027">
        <w:rPr>
          <w:bCs/>
          <w:color w:val="000000"/>
        </w:rPr>
        <w:t>, umożliwiający przedsiębiorcy samodzielny wybór usług rozwojowych, odpowiadających w największym stopniu jego potrzebom</w:t>
      </w:r>
      <w:r w:rsidR="0040779E" w:rsidRPr="000B0027">
        <w:rPr>
          <w:bCs/>
          <w:color w:val="000000"/>
        </w:rPr>
        <w:t>;</w:t>
      </w:r>
    </w:p>
    <w:p w14:paraId="64F0E662" w14:textId="6FEA9DF3"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rPr>
        <w:t xml:space="preserve">Bonie rozwojowym, </w:t>
      </w:r>
      <w:r w:rsidRPr="000B0027">
        <w:t xml:space="preserve">zwany również bonem – należy przez to rozumieć elektroniczny bon rozwojowy, uprawniający </w:t>
      </w:r>
      <w:r w:rsidR="00F35500" w:rsidRPr="000B0027">
        <w:t>p</w:t>
      </w:r>
      <w:r w:rsidRPr="000B0027">
        <w:t xml:space="preserve">rzedsiębiorcę oraz skierowanego przez </w:t>
      </w:r>
      <w:r w:rsidR="00F35500" w:rsidRPr="000B0027">
        <w:t>p</w:t>
      </w:r>
      <w:r w:rsidRPr="000B0027">
        <w:t xml:space="preserve">rzedsiębiorcę </w:t>
      </w:r>
      <w:r w:rsidR="00F35500" w:rsidRPr="000B0027">
        <w:t>p</w:t>
      </w:r>
      <w:r w:rsidR="00CF0131" w:rsidRPr="000B0027">
        <w:t>racownika do skorzystania z </w:t>
      </w:r>
      <w:r w:rsidRPr="000B0027">
        <w:t xml:space="preserve">Usług dofinansowanych w ramach </w:t>
      </w:r>
      <w:r w:rsidR="00F35500" w:rsidRPr="000B0027">
        <w:t>p</w:t>
      </w:r>
      <w:r w:rsidRPr="000B0027">
        <w:t>rojektu</w:t>
      </w:r>
      <w:r w:rsidR="00F35500" w:rsidRPr="000B0027">
        <w:t xml:space="preserve"> </w:t>
      </w:r>
      <w:r w:rsidR="00F35500" w:rsidRPr="000B0027">
        <w:rPr>
          <w:bCs/>
        </w:rPr>
        <w:t>„Małopolskie Bony Rozwojowe plus”</w:t>
      </w:r>
      <w:r w:rsidR="0040779E" w:rsidRPr="000B0027">
        <w:rPr>
          <w:bCs/>
        </w:rPr>
        <w:t>;</w:t>
      </w:r>
    </w:p>
    <w:p w14:paraId="08C31E0A" w14:textId="15A09510" w:rsidR="00B54D5F" w:rsidRPr="000B0027" w:rsidRDefault="00B54D5F" w:rsidP="00B54D5F">
      <w:pPr>
        <w:widowControl/>
        <w:numPr>
          <w:ilvl w:val="0"/>
          <w:numId w:val="2"/>
        </w:numPr>
        <w:tabs>
          <w:tab w:val="left" w:pos="426"/>
        </w:tabs>
        <w:suppressAutoHyphens/>
        <w:autoSpaceDE/>
        <w:autoSpaceDN/>
        <w:spacing w:line="276" w:lineRule="auto"/>
        <w:ind w:left="426" w:hanging="426"/>
        <w:jc w:val="both"/>
        <w:rPr>
          <w:b/>
        </w:rPr>
      </w:pPr>
      <w:r w:rsidRPr="000B0027">
        <w:rPr>
          <w:b/>
          <w:color w:val="000000"/>
        </w:rPr>
        <w:t xml:space="preserve">Elektroniczny </w:t>
      </w:r>
      <w:r w:rsidRPr="000B0027">
        <w:rPr>
          <w:b/>
          <w:lang w:eastAsia="zh-CN"/>
        </w:rPr>
        <w:t xml:space="preserve">system obiegu bonów rozwojowych (system bonowy) – </w:t>
      </w:r>
      <w:r w:rsidR="00B144FE" w:rsidRPr="000B0027">
        <w:rPr>
          <w:lang w:eastAsia="zh-CN"/>
        </w:rPr>
        <w:t xml:space="preserve">należy przez to rozumieć </w:t>
      </w:r>
      <w:r w:rsidR="00B144FE" w:rsidRPr="0017687C">
        <w:rPr>
          <w:bCs/>
        </w:rPr>
        <w:t>system informatyczny udostępniony przez MARR S.A. oraz Partnera na stronie internetowej: https://</w:t>
      </w:r>
      <w:r w:rsidR="00B144FE" w:rsidRPr="0017687C">
        <w:t>www.marr.pl/mbonplus</w:t>
      </w:r>
      <w:r w:rsidR="00B144FE" w:rsidRPr="0017687C">
        <w:rPr>
          <w:bCs/>
        </w:rPr>
        <w:t xml:space="preserve">, gwarantujący prawidłowy obieg bonów rozwojowych umożliwiający przedsiębiorcy zgłoszenie elektroniczne poprzez wypełnienie formularza </w:t>
      </w:r>
      <w:r w:rsidR="00B144FE">
        <w:rPr>
          <w:bCs/>
        </w:rPr>
        <w:br/>
      </w:r>
      <w:r w:rsidR="00B144FE" w:rsidRPr="0017687C">
        <w:rPr>
          <w:bCs/>
        </w:rPr>
        <w:t>w celu pozyskania bonów rozwojowych pozwalających na dofinansowanie usług rozwojowych oraz ich rozliczenie z usługodawcą po zrealizowaniu usługi rozwojowej</w:t>
      </w:r>
      <w:r w:rsidR="00B144FE">
        <w:rPr>
          <w:bCs/>
        </w:rPr>
        <w:t xml:space="preserve">” </w:t>
      </w:r>
      <w:r w:rsidRPr="000B0027">
        <w:t xml:space="preserve">W ramach funkcjonalności systemu dostępnego pod adresem </w:t>
      </w:r>
      <w:r w:rsidR="00F35500" w:rsidRPr="000B0027">
        <w:t>http://marr.pl/</w:t>
      </w:r>
      <w:r w:rsidRPr="000B0027">
        <w:t xml:space="preserve">mbon.pl </w:t>
      </w:r>
      <w:r w:rsidR="00F35500" w:rsidRPr="000B0027">
        <w:t>u</w:t>
      </w:r>
      <w:r w:rsidRPr="000B0027">
        <w:t xml:space="preserve">sługodawca dokonuje rozliczenia </w:t>
      </w:r>
      <w:r w:rsidR="00F35500" w:rsidRPr="000B0027">
        <w:t>u</w:t>
      </w:r>
      <w:r w:rsidRPr="000B0027">
        <w:t>sługi rozwojowej.</w:t>
      </w:r>
    </w:p>
    <w:p w14:paraId="40641058" w14:textId="74812258" w:rsidR="00B54D5F" w:rsidRPr="000B0027" w:rsidRDefault="00B54D5F" w:rsidP="00B54D5F">
      <w:pPr>
        <w:widowControl/>
        <w:numPr>
          <w:ilvl w:val="0"/>
          <w:numId w:val="2"/>
        </w:numPr>
        <w:tabs>
          <w:tab w:val="left" w:pos="426"/>
        </w:tabs>
        <w:suppressAutoHyphens/>
        <w:autoSpaceDE/>
        <w:autoSpaceDN/>
        <w:spacing w:line="276" w:lineRule="auto"/>
        <w:ind w:left="426" w:hanging="426"/>
        <w:jc w:val="both"/>
        <w:rPr>
          <w:b/>
        </w:rPr>
      </w:pPr>
      <w:r w:rsidRPr="000B0027">
        <w:rPr>
          <w:b/>
          <w:lang w:eastAsia="zh-CN"/>
        </w:rPr>
        <w:t xml:space="preserve">Godzinie doradczej - </w:t>
      </w:r>
      <w:r w:rsidRPr="000B0027">
        <w:rPr>
          <w:lang w:eastAsia="zh-CN"/>
        </w:rPr>
        <w:t xml:space="preserve">należy przez to rozumieć jednostkę trwania </w:t>
      </w:r>
      <w:r w:rsidR="00F35500" w:rsidRPr="000B0027">
        <w:rPr>
          <w:lang w:eastAsia="zh-CN"/>
        </w:rPr>
        <w:t>u</w:t>
      </w:r>
      <w:r w:rsidRPr="000B0027">
        <w:rPr>
          <w:lang w:eastAsia="zh-CN"/>
        </w:rPr>
        <w:t xml:space="preserve">sługi doradczej wynoszącą </w:t>
      </w:r>
      <w:r w:rsidR="0040779E" w:rsidRPr="000B0027">
        <w:rPr>
          <w:lang w:eastAsia="zh-CN"/>
        </w:rPr>
        <w:br/>
      </w:r>
      <w:r w:rsidRPr="000B0027">
        <w:rPr>
          <w:lang w:eastAsia="zh-CN"/>
        </w:rPr>
        <w:t>60 minut (dalej: godzina zegarowa)</w:t>
      </w:r>
      <w:r w:rsidR="0040779E" w:rsidRPr="000B0027">
        <w:rPr>
          <w:lang w:eastAsia="zh-CN"/>
        </w:rPr>
        <w:t>;</w:t>
      </w:r>
    </w:p>
    <w:p w14:paraId="036BF850" w14:textId="0CDAA9B4" w:rsidR="0040779E" w:rsidRPr="000B0027" w:rsidRDefault="00B54D5F" w:rsidP="0040779E">
      <w:pPr>
        <w:widowControl/>
        <w:numPr>
          <w:ilvl w:val="0"/>
          <w:numId w:val="2"/>
        </w:numPr>
        <w:tabs>
          <w:tab w:val="left" w:pos="426"/>
        </w:tabs>
        <w:suppressAutoHyphens/>
        <w:autoSpaceDE/>
        <w:autoSpaceDN/>
        <w:spacing w:line="276" w:lineRule="auto"/>
        <w:ind w:left="426" w:hanging="426"/>
        <w:jc w:val="both"/>
        <w:rPr>
          <w:b/>
        </w:rPr>
      </w:pPr>
      <w:r w:rsidRPr="000B0027">
        <w:rPr>
          <w:b/>
          <w:lang w:eastAsia="zh-CN"/>
        </w:rPr>
        <w:t xml:space="preserve">Godzinie szkoleniowej (dydaktycznej) </w:t>
      </w:r>
      <w:r w:rsidRPr="000B0027">
        <w:rPr>
          <w:lang w:eastAsia="zh-CN"/>
        </w:rPr>
        <w:t xml:space="preserve">– należy przez to rozumieć jednostkę trwania </w:t>
      </w:r>
      <w:r w:rsidR="00F35500" w:rsidRPr="000B0027">
        <w:rPr>
          <w:lang w:eastAsia="zh-CN"/>
        </w:rPr>
        <w:t>u</w:t>
      </w:r>
      <w:r w:rsidRPr="000B0027">
        <w:rPr>
          <w:lang w:eastAsia="zh-CN"/>
        </w:rPr>
        <w:t>sługi szkoleniowej wynoszącą 45 minut (dalej: godzina dydaktyczna)</w:t>
      </w:r>
      <w:r w:rsidR="0040779E" w:rsidRPr="000B0027">
        <w:rPr>
          <w:lang w:eastAsia="zh-CN"/>
        </w:rPr>
        <w:t>;</w:t>
      </w:r>
    </w:p>
    <w:p w14:paraId="4349F60C" w14:textId="77777777" w:rsidR="0040779E" w:rsidRPr="000B0027" w:rsidRDefault="0040779E" w:rsidP="0040779E">
      <w:pPr>
        <w:pStyle w:val="Akapitzlist"/>
        <w:widowControl/>
        <w:numPr>
          <w:ilvl w:val="0"/>
          <w:numId w:val="2"/>
        </w:numPr>
        <w:autoSpaceDE/>
        <w:autoSpaceDN/>
        <w:ind w:left="426" w:hanging="426"/>
        <w:contextualSpacing/>
        <w:jc w:val="both"/>
        <w:rPr>
          <w:rFonts w:eastAsia="Times New Roman"/>
          <w:color w:val="000000"/>
        </w:rPr>
      </w:pPr>
      <w:r w:rsidRPr="000B0027">
        <w:rPr>
          <w:rFonts w:eastAsia="Times New Roman"/>
          <w:b/>
          <w:color w:val="000000"/>
        </w:rPr>
        <w:t>ID wsparcia</w:t>
      </w:r>
      <w:r w:rsidRPr="000B0027">
        <w:rPr>
          <w:rFonts w:eastAsia="Times New Roman"/>
          <w:color w:val="000000"/>
        </w:rPr>
        <w:t xml:space="preserve"> – należy przez to rozumieć indywidualny numer identyfikacyjny wsparcia, składający się z ciągu znaków alfanumerycznych nadanych zgodnie z wymogami administratora BUR, przypisany przez MARR S.A. do konkretnego Uczestnika;</w:t>
      </w:r>
    </w:p>
    <w:p w14:paraId="00179059" w14:textId="394C7B18" w:rsidR="008D7BA3" w:rsidRPr="000B0027" w:rsidRDefault="008D7BA3" w:rsidP="0040779E">
      <w:pPr>
        <w:pStyle w:val="Akapitzlist"/>
        <w:widowControl/>
        <w:numPr>
          <w:ilvl w:val="0"/>
          <w:numId w:val="2"/>
        </w:numPr>
        <w:autoSpaceDE/>
        <w:autoSpaceDN/>
        <w:ind w:left="426" w:hanging="426"/>
        <w:contextualSpacing/>
        <w:jc w:val="both"/>
        <w:rPr>
          <w:rFonts w:eastAsia="Times New Roman"/>
          <w:color w:val="000000"/>
        </w:rPr>
      </w:pPr>
      <w:r w:rsidRPr="000B0027">
        <w:rPr>
          <w:b/>
        </w:rPr>
        <w:t>Karta Usługi</w:t>
      </w:r>
      <w:r w:rsidRPr="000B0027">
        <w:t xml:space="preserve"> – zatwierdzony przez ministra właściwego do spraw rozwoju regionalnego formularz określający zakres informacji umożliwiających zarejestrowanie danej usługi rozwojowej w BUR;</w:t>
      </w:r>
    </w:p>
    <w:p w14:paraId="2CAB8AA7" w14:textId="3BAD037B" w:rsidR="00B54D5F" w:rsidRPr="000B0027" w:rsidRDefault="00B54D5F" w:rsidP="0040779E">
      <w:pPr>
        <w:pStyle w:val="Akapitzlist"/>
        <w:widowControl/>
        <w:numPr>
          <w:ilvl w:val="0"/>
          <w:numId w:val="2"/>
        </w:numPr>
        <w:autoSpaceDE/>
        <w:autoSpaceDN/>
        <w:ind w:left="426" w:hanging="426"/>
        <w:contextualSpacing/>
        <w:jc w:val="both"/>
        <w:rPr>
          <w:rFonts w:eastAsia="Times New Roman"/>
          <w:color w:val="000000"/>
        </w:rPr>
      </w:pPr>
      <w:r w:rsidRPr="000B0027">
        <w:rPr>
          <w:b/>
          <w:bCs/>
        </w:rPr>
        <w:t>Małopolskiej Agencji Rozwoju Regionalnego S.A. (zwanej dalej MARR S.A.) –</w:t>
      </w:r>
      <w:r w:rsidR="00F35500" w:rsidRPr="000B0027">
        <w:rPr>
          <w:b/>
          <w:bCs/>
        </w:rPr>
        <w:t xml:space="preserve"> </w:t>
      </w:r>
      <w:r w:rsidRPr="000B0027">
        <w:rPr>
          <w:bCs/>
        </w:rPr>
        <w:t xml:space="preserve">należy przez </w:t>
      </w:r>
      <w:r w:rsidR="0040779E" w:rsidRPr="000B0027">
        <w:rPr>
          <w:bCs/>
        </w:rPr>
        <w:br/>
      </w:r>
      <w:r w:rsidRPr="000B0027">
        <w:rPr>
          <w:bCs/>
        </w:rPr>
        <w:t xml:space="preserve">to rozumieć Małopolską Agencję Rozwoju Regionalnego S.A., </w:t>
      </w:r>
      <w:r w:rsidRPr="000B0027">
        <w:t>z siedzibą w Krakowie, adres ul. Kordylewskiego 11, 31-542 Kraków, wpisaną przez Sąd Rejo</w:t>
      </w:r>
      <w:r w:rsidR="0040779E" w:rsidRPr="000B0027">
        <w:t xml:space="preserve">nowy dla Krakowa – </w:t>
      </w:r>
      <w:r w:rsidR="00CF0131" w:rsidRPr="000B0027">
        <w:t>Śródmieścia w </w:t>
      </w:r>
      <w:r w:rsidRPr="000B0027">
        <w:t xml:space="preserve">Krakowie, Wydział XI Gospodarczy Krajowego Rejestru Sądowego do Rejestru Przedsiębiorców KRS pod numerem: 0000033198, posiadającą numer NIP: 676-005-88-47, </w:t>
      </w:r>
      <w:r w:rsidRPr="000B0027">
        <w:rPr>
          <w:iCs/>
          <w:noProof/>
        </w:rPr>
        <w:t>kapitał zakładowy: 87 675 000 PLN (w całości wpłacony)</w:t>
      </w:r>
      <w:r w:rsidRPr="000B0027">
        <w:rPr>
          <w:bCs/>
        </w:rPr>
        <w:t>, która jest Liderem projektu</w:t>
      </w:r>
      <w:r w:rsidR="0040779E" w:rsidRPr="000B0027">
        <w:rPr>
          <w:bCs/>
        </w:rPr>
        <w:t>;</w:t>
      </w:r>
    </w:p>
    <w:p w14:paraId="4BF2F16C" w14:textId="4C834860"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Cs/>
          <w:color w:val="0D0D0D"/>
        </w:rPr>
        <w:t xml:space="preserve"> </w:t>
      </w:r>
      <w:r w:rsidRPr="000B0027">
        <w:rPr>
          <w:b/>
        </w:rPr>
        <w:t>Projekcie</w:t>
      </w:r>
      <w:r w:rsidRPr="000B0027">
        <w:t xml:space="preserve"> – należy przez to rozumieć </w:t>
      </w:r>
      <w:r w:rsidR="00FF69C3">
        <w:t>p</w:t>
      </w:r>
      <w:r w:rsidRPr="000B0027">
        <w:t>rojekt Małopolskiej Agen</w:t>
      </w:r>
      <w:r w:rsidR="00CF0131" w:rsidRPr="000B0027">
        <w:t>cji Rozwoju Regionalnego S.A. w </w:t>
      </w:r>
      <w:r w:rsidRPr="000B0027">
        <w:t xml:space="preserve">Krakowie pn. „Małopolskie Bony Rozwojowe plus” realizowany w ramach Regionalnego Programu Operacyjnego Województwa Małopolskiego 2014-2020, Działanie </w:t>
      </w:r>
      <w:r w:rsidR="00CF0131" w:rsidRPr="000B0027">
        <w:t>8.4. „Rozwój kompetencji kadr i </w:t>
      </w:r>
      <w:r w:rsidRPr="000B0027">
        <w:t>adaptacji do zmian” Podziałanie 8.4.1 „Rozwój kompetencji kadr sektora MSP” współfinansowany przez Unię Europejską ze środków Europejskiego Funduszu Społecznego</w:t>
      </w:r>
      <w:r w:rsidR="0040779E" w:rsidRPr="000B0027">
        <w:t>;</w:t>
      </w:r>
    </w:p>
    <w:p w14:paraId="4224A463" w14:textId="6CBB0F2B"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rPr>
        <w:t>Systemie Oceny Usług Rozwojowych</w:t>
      </w:r>
      <w:r w:rsidRPr="000B0027">
        <w:t xml:space="preserve"> – należy przez to rozumieć zasady oceny usługi rozwojowej dokonywanej przez </w:t>
      </w:r>
      <w:r w:rsidR="00F35500" w:rsidRPr="000B0027">
        <w:t>u</w:t>
      </w:r>
      <w:r w:rsidRPr="000B0027">
        <w:t xml:space="preserve">czestnika usługi rozwojowej tj. odpowiednio </w:t>
      </w:r>
      <w:r w:rsidR="00F35500" w:rsidRPr="000B0027">
        <w:t>p</w:t>
      </w:r>
      <w:r w:rsidRPr="000B0027">
        <w:t xml:space="preserve">rzedsiębiorcę lub skierowanego przez </w:t>
      </w:r>
      <w:r w:rsidR="00F35500" w:rsidRPr="000B0027">
        <w:t>p</w:t>
      </w:r>
      <w:r w:rsidRPr="000B0027">
        <w:t xml:space="preserve">rzedsiębiorcę </w:t>
      </w:r>
      <w:r w:rsidR="00F35500" w:rsidRPr="000B0027">
        <w:t>p</w:t>
      </w:r>
      <w:r w:rsidRPr="000B0027">
        <w:t>racownika do udziału w usłudze rozwojowej, zatwierdzone przez ministra właściwego do spraw rozwoju regionalnego, stanowiące Załącznik nr 3 do Regulaminu Bazy Usług Rozwojowych</w:t>
      </w:r>
      <w:r w:rsidR="0040779E" w:rsidRPr="000B0027">
        <w:t>;</w:t>
      </w:r>
    </w:p>
    <w:p w14:paraId="12C32FE0" w14:textId="5F41DE14"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rPr>
        <w:t>Uczestniku Projektu</w:t>
      </w:r>
      <w:r w:rsidRPr="000B0027">
        <w:t xml:space="preserve"> – należy przez to rozumieć </w:t>
      </w:r>
      <w:r w:rsidR="00F35500" w:rsidRPr="000B0027">
        <w:t>p</w:t>
      </w:r>
      <w:r w:rsidRPr="000B0027">
        <w:t xml:space="preserve">rzedsiębiorcę, który zawarł z MARR S.A. umowę dofinansowania </w:t>
      </w:r>
      <w:r w:rsidR="0040779E" w:rsidRPr="000B0027">
        <w:t>u</w:t>
      </w:r>
      <w:r w:rsidRPr="000B0027">
        <w:t xml:space="preserve">sług w ramach projektu </w:t>
      </w:r>
      <w:r w:rsidR="00F35500" w:rsidRPr="000B0027">
        <w:t>„</w:t>
      </w:r>
      <w:r w:rsidRPr="000B0027">
        <w:t>Małopolskie Bony Rozwojowe plus</w:t>
      </w:r>
      <w:r w:rsidR="00F35500" w:rsidRPr="000B0027">
        <w:t>”</w:t>
      </w:r>
      <w:r w:rsidRPr="000B0027">
        <w:t xml:space="preserve"> lub skierowanego przez niego pracownika w ramach funkcjonalności BUR</w:t>
      </w:r>
      <w:r w:rsidR="00F35500" w:rsidRPr="000B0027">
        <w:t>,</w:t>
      </w:r>
      <w:r w:rsidRPr="000B0027">
        <w:t xml:space="preserve"> na usługę rozwojową dofinansowaną </w:t>
      </w:r>
      <w:r w:rsidR="0040779E" w:rsidRPr="000B0027">
        <w:br/>
      </w:r>
      <w:r w:rsidRPr="000B0027">
        <w:t xml:space="preserve">w ramach </w:t>
      </w:r>
      <w:r w:rsidR="00F35500" w:rsidRPr="000B0027">
        <w:t>p</w:t>
      </w:r>
      <w:r w:rsidRPr="000B0027">
        <w:t xml:space="preserve">rojektu; </w:t>
      </w:r>
    </w:p>
    <w:p w14:paraId="651069E8" w14:textId="7CF19009"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rPr>
        <w:t xml:space="preserve">Usłudze – </w:t>
      </w:r>
      <w:r w:rsidRPr="000B0027">
        <w:t>należy przez to rozmieć usługę rozwojową</w:t>
      </w:r>
      <w:r w:rsidR="0040779E" w:rsidRPr="000B0027">
        <w:t>;</w:t>
      </w:r>
    </w:p>
    <w:p w14:paraId="41BBD8B3" w14:textId="76C4024B"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rPr>
        <w:lastRenderedPageBreak/>
        <w:t>Usłudze rozwojowej</w:t>
      </w:r>
      <w:r w:rsidRPr="000B0027">
        <w:t xml:space="preserve"> – należy przez to rozumieć usługę mającą na celu nabycie, potwierdzenie </w:t>
      </w:r>
      <w:r w:rsidR="0040779E" w:rsidRPr="000B0027">
        <w:br/>
      </w:r>
      <w:r w:rsidRPr="000B0027">
        <w:t xml:space="preserve">lub wzrost wiedzy, umiejętności lub kompetencji społecznych przedsiębiorców i ich pracowników, </w:t>
      </w:r>
      <w:r w:rsidR="0040779E" w:rsidRPr="000B0027">
        <w:br/>
      </w:r>
      <w:r w:rsidRPr="000B0027">
        <w:t>w tym mające na celu zdobycie kwalifikacji, o których mowa w art. 2 pkt 8 ust</w:t>
      </w:r>
      <w:r w:rsidR="00CF0131" w:rsidRPr="000B0027">
        <w:t>awy z dnia 22 grudnia 2015 r. o </w:t>
      </w:r>
      <w:r w:rsidRPr="000B0027">
        <w:t>Zintegrowanym Systemie Kwalifikacji, lub pozwalające na ich rozwój. W ramach usług rozwojowych wyróżniamy trzy kategorie usług:</w:t>
      </w:r>
    </w:p>
    <w:p w14:paraId="5E7528B0" w14:textId="16BA647F" w:rsidR="00B54D5F" w:rsidRPr="000B0027" w:rsidRDefault="0040779E" w:rsidP="00B54D5F">
      <w:pPr>
        <w:pStyle w:val="Default"/>
        <w:numPr>
          <w:ilvl w:val="0"/>
          <w:numId w:val="1"/>
        </w:numPr>
        <w:ind w:left="1134"/>
        <w:jc w:val="both"/>
        <w:rPr>
          <w:iCs/>
          <w:sz w:val="22"/>
          <w:szCs w:val="22"/>
        </w:rPr>
      </w:pPr>
      <w:r w:rsidRPr="000B0027">
        <w:rPr>
          <w:iCs/>
          <w:sz w:val="22"/>
          <w:szCs w:val="22"/>
        </w:rPr>
        <w:t>u</w:t>
      </w:r>
      <w:r w:rsidR="00B54D5F" w:rsidRPr="000B0027">
        <w:rPr>
          <w:iCs/>
          <w:sz w:val="22"/>
          <w:szCs w:val="22"/>
        </w:rPr>
        <w:t>sługi szkoleniowe. Poprzez usługę szkoleniową należy rozumieć usługę</w:t>
      </w:r>
      <w:r w:rsidR="00B54D5F" w:rsidRPr="000B0027">
        <w:rPr>
          <w:sz w:val="22"/>
          <w:szCs w:val="22"/>
        </w:rPr>
        <w:t xml:space="preserve"> o charakterze rozwojowym, mającą na celu nabycie, potwierdzenie lub wzrost wiedzy, umiejętności lub kompetencji społecznych usługobiorcy, w tym przygotowującą do uzyskania kwalifikacji, o której mowa w art. 2 pkt 8 ustawy z dnia 22 grudnia 2015 r. o</w:t>
      </w:r>
      <w:r w:rsidR="00CF0131" w:rsidRPr="000B0027">
        <w:rPr>
          <w:sz w:val="22"/>
          <w:szCs w:val="22"/>
        </w:rPr>
        <w:t> </w:t>
      </w:r>
      <w:r w:rsidR="00B54D5F" w:rsidRPr="000B0027">
        <w:rPr>
          <w:sz w:val="22"/>
          <w:szCs w:val="22"/>
        </w:rPr>
        <w:t>Zintegrowanym Systemie Kwalifikacji (</w:t>
      </w:r>
      <w:proofErr w:type="spellStart"/>
      <w:r w:rsidR="00B54D5F" w:rsidRPr="000B0027">
        <w:rPr>
          <w:sz w:val="22"/>
          <w:szCs w:val="22"/>
        </w:rPr>
        <w:t>t.j</w:t>
      </w:r>
      <w:proofErr w:type="spellEnd"/>
      <w:r w:rsidR="00B54D5F" w:rsidRPr="000B0027">
        <w:rPr>
          <w:sz w:val="22"/>
          <w:szCs w:val="22"/>
        </w:rPr>
        <w:t xml:space="preserve">. Dz. U. z 2018 r. poz. 2153 ze </w:t>
      </w:r>
      <w:proofErr w:type="spellStart"/>
      <w:r w:rsidR="00B54D5F" w:rsidRPr="000B0027">
        <w:rPr>
          <w:sz w:val="22"/>
          <w:szCs w:val="22"/>
        </w:rPr>
        <w:t>zm</w:t>
      </w:r>
      <w:proofErr w:type="spellEnd"/>
      <w:r w:rsidR="00B54D5F" w:rsidRPr="000B0027">
        <w:rPr>
          <w:sz w:val="22"/>
          <w:szCs w:val="22"/>
        </w:rPr>
        <w:t xml:space="preserve"> ), w sposób określony w tej ustawie lub pozwalające na jego rozwój</w:t>
      </w:r>
      <w:r w:rsidRPr="000B0027">
        <w:rPr>
          <w:sz w:val="22"/>
          <w:szCs w:val="22"/>
        </w:rPr>
        <w:t>,</w:t>
      </w:r>
    </w:p>
    <w:p w14:paraId="4FA6C3B9" w14:textId="07AE214D" w:rsidR="00B54D5F" w:rsidRPr="000B0027" w:rsidRDefault="0040779E" w:rsidP="00B54D5F">
      <w:pPr>
        <w:pStyle w:val="Default"/>
        <w:numPr>
          <w:ilvl w:val="0"/>
          <w:numId w:val="1"/>
        </w:numPr>
        <w:ind w:left="1134"/>
        <w:jc w:val="both"/>
        <w:rPr>
          <w:iCs/>
          <w:sz w:val="22"/>
          <w:szCs w:val="22"/>
        </w:rPr>
      </w:pPr>
      <w:r w:rsidRPr="000B0027">
        <w:rPr>
          <w:iCs/>
          <w:sz w:val="22"/>
          <w:szCs w:val="22"/>
        </w:rPr>
        <w:t>u</w:t>
      </w:r>
      <w:r w:rsidR="00B54D5F" w:rsidRPr="000B0027">
        <w:rPr>
          <w:iCs/>
          <w:sz w:val="22"/>
          <w:szCs w:val="22"/>
        </w:rPr>
        <w:t xml:space="preserve">sługi doradcze. </w:t>
      </w:r>
      <w:r w:rsidR="00B54D5F" w:rsidRPr="000B0027">
        <w:rPr>
          <w:sz w:val="22"/>
          <w:szCs w:val="22"/>
        </w:rPr>
        <w:t>Poprzez usługę doradczą należy rozumieć usługę o charakterze rozwojowym mającą na celu nabycie, utrzymanie lub wzrost wiedzy, umiejętności lub kompetencji społecznych usługobiorcy lub które pozwalają na jego rozwój</w:t>
      </w:r>
      <w:r w:rsidRPr="000B0027">
        <w:rPr>
          <w:sz w:val="22"/>
          <w:szCs w:val="22"/>
        </w:rPr>
        <w:t>,</w:t>
      </w:r>
    </w:p>
    <w:p w14:paraId="4BAF7D9A" w14:textId="0BED459A" w:rsidR="00B54D5F" w:rsidRPr="000B0027" w:rsidRDefault="0040779E" w:rsidP="00B54D5F">
      <w:pPr>
        <w:pStyle w:val="Default"/>
        <w:numPr>
          <w:ilvl w:val="0"/>
          <w:numId w:val="1"/>
        </w:numPr>
        <w:ind w:left="1134"/>
        <w:jc w:val="both"/>
        <w:rPr>
          <w:sz w:val="22"/>
          <w:szCs w:val="22"/>
        </w:rPr>
      </w:pPr>
      <w:r w:rsidRPr="000B0027">
        <w:rPr>
          <w:iCs/>
          <w:sz w:val="22"/>
          <w:szCs w:val="22"/>
        </w:rPr>
        <w:t>u</w:t>
      </w:r>
      <w:r w:rsidR="00B54D5F" w:rsidRPr="000B0027">
        <w:rPr>
          <w:iCs/>
          <w:sz w:val="22"/>
          <w:szCs w:val="22"/>
        </w:rPr>
        <w:t>sługi</w:t>
      </w:r>
      <w:r w:rsidR="00B54D5F" w:rsidRPr="000B0027">
        <w:rPr>
          <w:sz w:val="22"/>
          <w:szCs w:val="22"/>
        </w:rPr>
        <w:t xml:space="preserve"> jednorazowe (egzamin).</w:t>
      </w:r>
    </w:p>
    <w:p w14:paraId="26725E47" w14:textId="78F37ADE" w:rsidR="00B54D5F" w:rsidRPr="000B0027" w:rsidRDefault="00B54D5F" w:rsidP="00B54D5F">
      <w:pPr>
        <w:pStyle w:val="Akapitzlist"/>
        <w:widowControl/>
        <w:numPr>
          <w:ilvl w:val="0"/>
          <w:numId w:val="2"/>
        </w:numPr>
        <w:autoSpaceDE/>
        <w:autoSpaceDN/>
        <w:ind w:left="426" w:hanging="426"/>
        <w:contextualSpacing/>
        <w:jc w:val="both"/>
      </w:pPr>
      <w:r w:rsidRPr="000B0027">
        <w:rPr>
          <w:b/>
          <w:color w:val="000000"/>
          <w:lang w:eastAsia="zh-CN"/>
        </w:rPr>
        <w:t xml:space="preserve">Usłudze walidacji i certyfikacji kompetencji – </w:t>
      </w:r>
      <w:r w:rsidRPr="000B0027">
        <w:rPr>
          <w:color w:val="000000"/>
          <w:lang w:eastAsia="zh-CN"/>
        </w:rPr>
        <w:t>należy przez to rozumieć</w:t>
      </w:r>
      <w:r w:rsidRPr="000B0027">
        <w:rPr>
          <w:b/>
          <w:color w:val="000000"/>
          <w:lang w:eastAsia="zh-CN"/>
        </w:rPr>
        <w:t xml:space="preserve"> </w:t>
      </w:r>
      <w:r w:rsidRPr="000B0027">
        <w:t>usługę pozwalającą na uzyskanie kwalifikacji lub części kwalifikacji zarejestrowanych w Zintegrowanym Rejestrze Kwalifikacji</w:t>
      </w:r>
      <w:r w:rsidR="00FF69C3">
        <w:t xml:space="preserve"> (ZRK)</w:t>
      </w:r>
      <w:r w:rsidRPr="000B0027">
        <w:t xml:space="preserve"> lub </w:t>
      </w:r>
      <w:r w:rsidRPr="000B0027">
        <w:rPr>
          <w:color w:val="000000"/>
          <w:lang w:eastAsia="zh-CN"/>
        </w:rPr>
        <w:t>polegającą na uzyskaniu kwalifikacji innych niż kwalifikacje zarejestrowane w ZRK i</w:t>
      </w:r>
      <w:r w:rsidR="00425B2D">
        <w:rPr>
          <w:color w:val="000000"/>
          <w:lang w:eastAsia="zh-CN"/>
        </w:rPr>
        <w:t> </w:t>
      </w:r>
      <w:r w:rsidRPr="000B0027">
        <w:rPr>
          <w:color w:val="000000"/>
          <w:lang w:eastAsia="zh-CN"/>
        </w:rPr>
        <w:t>otrzymanie ogólnie uznanego certyfikatu, zgodnie z warunkami ok</w:t>
      </w:r>
      <w:r w:rsidR="00425B2D">
        <w:rPr>
          <w:color w:val="000000"/>
          <w:lang w:eastAsia="zh-CN"/>
        </w:rPr>
        <w:t>reślonymi dla tego typu usług w </w:t>
      </w:r>
      <w:r w:rsidRPr="000B0027">
        <w:rPr>
          <w:color w:val="000000"/>
          <w:lang w:eastAsia="zh-CN"/>
        </w:rPr>
        <w:t>Bazie</w:t>
      </w:r>
      <w:r w:rsidR="0040779E" w:rsidRPr="000B0027">
        <w:rPr>
          <w:color w:val="000000"/>
          <w:lang w:eastAsia="zh-CN"/>
        </w:rPr>
        <w:t>;</w:t>
      </w:r>
      <w:r w:rsidRPr="000B0027">
        <w:rPr>
          <w:color w:val="000000"/>
          <w:lang w:eastAsia="zh-CN"/>
        </w:rPr>
        <w:t xml:space="preserve"> </w:t>
      </w:r>
    </w:p>
    <w:p w14:paraId="0C97A1C3" w14:textId="0545CA1B" w:rsidR="00B54D5F" w:rsidRPr="000B0027" w:rsidRDefault="00B54D5F" w:rsidP="00B54D5F">
      <w:pPr>
        <w:pStyle w:val="Akapitzlist"/>
        <w:widowControl/>
        <w:numPr>
          <w:ilvl w:val="0"/>
          <w:numId w:val="2"/>
        </w:numPr>
        <w:autoSpaceDE/>
        <w:autoSpaceDN/>
        <w:spacing w:line="276" w:lineRule="auto"/>
        <w:ind w:left="426" w:hanging="426"/>
        <w:contextualSpacing/>
        <w:jc w:val="both"/>
      </w:pPr>
      <w:r w:rsidRPr="000B0027">
        <w:rPr>
          <w:b/>
          <w:color w:val="000000"/>
        </w:rPr>
        <w:t>Usługodawcy</w:t>
      </w:r>
      <w:r w:rsidRPr="000B0027">
        <w:rPr>
          <w:b/>
        </w:rPr>
        <w:t xml:space="preserve"> – </w:t>
      </w:r>
      <w:r w:rsidRPr="000B0027">
        <w:t>należy przez to rozumieć</w:t>
      </w:r>
      <w:r w:rsidRPr="000B0027">
        <w:rPr>
          <w:b/>
        </w:rPr>
        <w:t xml:space="preserve"> </w:t>
      </w:r>
      <w:r w:rsidRPr="000B0027">
        <w:t>instytucję zarejestrowaną w Bazie Usług Rozwojowych w</w:t>
      </w:r>
      <w:r w:rsidR="00CF0131" w:rsidRPr="000B0027">
        <w:t> </w:t>
      </w:r>
      <w:r w:rsidRPr="000B0027">
        <w:t xml:space="preserve">serwisie </w:t>
      </w:r>
      <w:hyperlink r:id="rId10" w:history="1">
        <w:r w:rsidRPr="000B0027">
          <w:rPr>
            <w:rStyle w:val="Hipercze"/>
          </w:rPr>
          <w:t>www.uslugirozwojowe.parp.gov.pl</w:t>
        </w:r>
      </w:hyperlink>
      <w:r w:rsidRPr="000B0027">
        <w:t>, która zaakceptowała niniejszy Regulamin.</w:t>
      </w:r>
    </w:p>
    <w:p w14:paraId="302572C2" w14:textId="77777777" w:rsidR="00B54D5F" w:rsidRPr="000B0027" w:rsidRDefault="00B54D5F" w:rsidP="00B54D5F">
      <w:pPr>
        <w:spacing w:before="240"/>
        <w:jc w:val="center"/>
        <w:rPr>
          <w:b/>
        </w:rPr>
      </w:pPr>
      <w:r w:rsidRPr="000B0027">
        <w:rPr>
          <w:b/>
        </w:rPr>
        <w:t>§ 2</w:t>
      </w:r>
    </w:p>
    <w:p w14:paraId="27B049CE" w14:textId="77777777" w:rsidR="00B54D5F" w:rsidRPr="000B0027" w:rsidRDefault="00B54D5F" w:rsidP="00B54D5F">
      <w:pPr>
        <w:jc w:val="center"/>
        <w:rPr>
          <w:b/>
        </w:rPr>
      </w:pPr>
      <w:r w:rsidRPr="000B0027">
        <w:rPr>
          <w:b/>
        </w:rPr>
        <w:t>Postanowienia ogólne</w:t>
      </w:r>
    </w:p>
    <w:p w14:paraId="310C28B2" w14:textId="77777777" w:rsidR="00B54D5F" w:rsidRPr="000B0027" w:rsidRDefault="00B54D5F" w:rsidP="00B54D5F">
      <w:pPr>
        <w:jc w:val="center"/>
        <w:rPr>
          <w:b/>
        </w:rPr>
      </w:pPr>
    </w:p>
    <w:p w14:paraId="3A820BBB" w14:textId="658DE48A" w:rsidR="00B54D5F" w:rsidRPr="000B0027" w:rsidRDefault="00B54D5F" w:rsidP="00B54D5F">
      <w:pPr>
        <w:pStyle w:val="Akapitzlist"/>
        <w:widowControl/>
        <w:numPr>
          <w:ilvl w:val="0"/>
          <w:numId w:val="3"/>
        </w:numPr>
        <w:autoSpaceDE/>
        <w:autoSpaceDN/>
        <w:contextualSpacing/>
        <w:jc w:val="both"/>
      </w:pPr>
      <w:r w:rsidRPr="000B0027">
        <w:t xml:space="preserve">Niniejszy Regulamin określa warunki realizacji i sposób rozliczania </w:t>
      </w:r>
      <w:r w:rsidR="00F35500" w:rsidRPr="000B0027">
        <w:t>u</w:t>
      </w:r>
      <w:r w:rsidRPr="000B0027">
        <w:t xml:space="preserve">sług przez </w:t>
      </w:r>
      <w:r w:rsidR="00F35500" w:rsidRPr="000B0027">
        <w:t>u</w:t>
      </w:r>
      <w:r w:rsidRPr="000B0027">
        <w:t>sługodawców w</w:t>
      </w:r>
      <w:r w:rsidR="00CF0131" w:rsidRPr="000B0027">
        <w:t> </w:t>
      </w:r>
      <w:r w:rsidRPr="000B0027">
        <w:t>Projekcie.</w:t>
      </w:r>
    </w:p>
    <w:p w14:paraId="2A08E152" w14:textId="7942E26F" w:rsidR="00B54D5F" w:rsidRPr="000B0027" w:rsidRDefault="00B54D5F" w:rsidP="00B54D5F">
      <w:pPr>
        <w:pStyle w:val="Akapitzlist"/>
        <w:widowControl/>
        <w:numPr>
          <w:ilvl w:val="0"/>
          <w:numId w:val="3"/>
        </w:numPr>
        <w:autoSpaceDE/>
        <w:autoSpaceDN/>
        <w:contextualSpacing/>
        <w:jc w:val="both"/>
      </w:pPr>
      <w:r w:rsidRPr="000B0027">
        <w:t>Poprzez akceptację niniejszego Regulaminu między stronami tj. MARR S.A. a </w:t>
      </w:r>
      <w:r w:rsidR="00F35500" w:rsidRPr="000B0027">
        <w:t>u</w:t>
      </w:r>
      <w:r w:rsidRPr="000B0027">
        <w:t xml:space="preserve">sługodawcą zostaje zawarta Umowa na świadczenie usług rozwojowych z wykorzystaniem elektronicznych bonów rozwojowych w ramach projektu „Małopolskie Bony Rozwojowe plus”, na warunkach określonych </w:t>
      </w:r>
      <w:r w:rsidR="00CF0131" w:rsidRPr="000B0027">
        <w:t>w </w:t>
      </w:r>
      <w:r w:rsidRPr="000B0027">
        <w:t xml:space="preserve">niniejszym Regulaminie. </w:t>
      </w:r>
    </w:p>
    <w:p w14:paraId="31B8DF35" w14:textId="77777777" w:rsidR="00B54D5F" w:rsidRPr="000B0027" w:rsidRDefault="00B54D5F" w:rsidP="00B54D5F">
      <w:pPr>
        <w:pStyle w:val="Akapitzlist"/>
        <w:widowControl/>
        <w:numPr>
          <w:ilvl w:val="0"/>
          <w:numId w:val="3"/>
        </w:numPr>
        <w:autoSpaceDE/>
        <w:autoSpaceDN/>
        <w:contextualSpacing/>
        <w:jc w:val="both"/>
      </w:pPr>
      <w:r w:rsidRPr="000B0027">
        <w:t>Projekt jest współfinansowany przez Unię Europejską ze środków Europejskiego Funduszu Społecznego oraz wkładu własnego Przedsiębiorcy.</w:t>
      </w:r>
    </w:p>
    <w:p w14:paraId="424921A2" w14:textId="77777777" w:rsidR="000B0027" w:rsidRDefault="00B54D5F" w:rsidP="000B0027">
      <w:pPr>
        <w:pStyle w:val="Akapitzlist"/>
        <w:widowControl/>
        <w:numPr>
          <w:ilvl w:val="0"/>
          <w:numId w:val="3"/>
        </w:numPr>
        <w:autoSpaceDE/>
        <w:autoSpaceDN/>
        <w:contextualSpacing/>
        <w:jc w:val="both"/>
      </w:pPr>
      <w:r w:rsidRPr="000B0027">
        <w:t>Projekt realizowany jest w okresie od 1 stycznia 2020 r. do 31</w:t>
      </w:r>
      <w:r w:rsidR="00F35500" w:rsidRPr="000B0027">
        <w:t>.12.</w:t>
      </w:r>
      <w:r w:rsidRPr="000B0027">
        <w:t xml:space="preserve">2022 r. Wszystkie usługi, na które zapisali się </w:t>
      </w:r>
      <w:r w:rsidR="00F35500" w:rsidRPr="000B0027">
        <w:t>p</w:t>
      </w:r>
      <w:r w:rsidRPr="000B0027">
        <w:t xml:space="preserve">rzedsiębiorcy w ramach funkcjonalności BUR, z wykorzystaniem ID wsparcia w projekcie, muszą być rozliczone w nieprzekraczalnym terminie do 31.12.2022 roku. </w:t>
      </w:r>
      <w:r w:rsidRPr="000B0027">
        <w:rPr>
          <w:b/>
          <w:bCs/>
        </w:rPr>
        <w:t>Nie istnieje możliwość rozliczenia usług, po zakończeniu okresu realizacji projektu.</w:t>
      </w:r>
      <w:r w:rsidRPr="000B0027">
        <w:t xml:space="preserve"> W przypadku niezłożenia przez </w:t>
      </w:r>
      <w:r w:rsidR="00F35500" w:rsidRPr="000B0027">
        <w:t>u</w:t>
      </w:r>
      <w:r w:rsidRPr="000B0027">
        <w:t xml:space="preserve">sługodawcę, prawidłowego rozliczenia w terminie do 15.12.2022 roku tj. w terminie umożliwiającym przelanie środków za usługę, kwestia roszczeń finansowych pomiędzy </w:t>
      </w:r>
      <w:r w:rsidR="00F35500" w:rsidRPr="000B0027">
        <w:t>p</w:t>
      </w:r>
      <w:r w:rsidRPr="000B0027">
        <w:t xml:space="preserve">rzedsiębiorcą i </w:t>
      </w:r>
      <w:r w:rsidR="00F35500" w:rsidRPr="000B0027">
        <w:t>u</w:t>
      </w:r>
      <w:r w:rsidRPr="000B0027">
        <w:t>sługodawcą będzie miała miejsce bez udziału MARR S.A.</w:t>
      </w:r>
    </w:p>
    <w:p w14:paraId="23AAA1DD" w14:textId="3E33C905" w:rsidR="000B0027" w:rsidRPr="000B0027" w:rsidRDefault="000B0027" w:rsidP="000B0027">
      <w:pPr>
        <w:pStyle w:val="Akapitzlist"/>
        <w:widowControl/>
        <w:numPr>
          <w:ilvl w:val="0"/>
          <w:numId w:val="3"/>
        </w:numPr>
        <w:autoSpaceDE/>
        <w:autoSpaceDN/>
        <w:contextualSpacing/>
        <w:jc w:val="both"/>
      </w:pPr>
      <w:r w:rsidRPr="000B0027">
        <w:t>W zwi</w:t>
      </w:r>
      <w:r>
        <w:t xml:space="preserve">ązku z zakończeniem realizacji </w:t>
      </w:r>
      <w:r w:rsidR="001F6AB3">
        <w:t>p</w:t>
      </w:r>
      <w:r w:rsidRPr="000B0027">
        <w:t xml:space="preserve">rojektu w dniu 31.12.2022 roku, zaleca się </w:t>
      </w:r>
      <w:r w:rsidR="001F6AB3">
        <w:t>u</w:t>
      </w:r>
      <w:r>
        <w:t>sługodawcy</w:t>
      </w:r>
      <w:r w:rsidRPr="000B0027">
        <w:t xml:space="preserve"> zawarcie umów z </w:t>
      </w:r>
      <w:r w:rsidR="001F6AB3">
        <w:t>p</w:t>
      </w:r>
      <w:r>
        <w:t>rzedsiębiorcą</w:t>
      </w:r>
      <w:r w:rsidRPr="000B0027">
        <w:t>,</w:t>
      </w:r>
      <w:r>
        <w:t xml:space="preserve"> które zabezpieczą </w:t>
      </w:r>
      <w:r w:rsidR="00FB7EB1">
        <w:t xml:space="preserve">jego </w:t>
      </w:r>
      <w:r>
        <w:t>interesy</w:t>
      </w:r>
      <w:r w:rsidRPr="000B0027">
        <w:t xml:space="preserve"> w zakresie obciążenia płatnością </w:t>
      </w:r>
      <w:r>
        <w:br/>
      </w:r>
      <w:r w:rsidRPr="000B0027">
        <w:t xml:space="preserve">za zrealizowaną usługę, w przypadku nie wywiązania się z obowiązków przez </w:t>
      </w:r>
      <w:r w:rsidR="001F6AB3">
        <w:t>p</w:t>
      </w:r>
      <w:r>
        <w:t>rzedsiębiorcę</w:t>
      </w:r>
      <w:r w:rsidRPr="000B0027">
        <w:t xml:space="preserve"> </w:t>
      </w:r>
      <w:r>
        <w:br/>
      </w:r>
      <w:r w:rsidR="001F6AB3">
        <w:t xml:space="preserve">które uniemożliwi usługodawcy złożenie </w:t>
      </w:r>
      <w:r w:rsidRPr="000B0027">
        <w:t>prawidłowego i term</w:t>
      </w:r>
      <w:r>
        <w:t xml:space="preserve">inowego rozliczenia do </w:t>
      </w:r>
      <w:r w:rsidRPr="000B0027">
        <w:t xml:space="preserve">dnia 15.12.2022 roku, które umożliwiłoby </w:t>
      </w:r>
      <w:r w:rsidR="001F6AB3">
        <w:t xml:space="preserve">MARR SA </w:t>
      </w:r>
      <w:r w:rsidRPr="000B0027">
        <w:t>przelanie środków za usługę z udziałem dofinasowania do dnia 31.12.2022 roku.</w:t>
      </w:r>
    </w:p>
    <w:p w14:paraId="6BB8EC5C" w14:textId="63B39EF4" w:rsidR="00B54D5F" w:rsidRPr="000B0027" w:rsidRDefault="00B54D5F" w:rsidP="00B54D5F">
      <w:pPr>
        <w:pStyle w:val="Akapitzlist"/>
        <w:widowControl/>
        <w:numPr>
          <w:ilvl w:val="0"/>
          <w:numId w:val="3"/>
        </w:numPr>
        <w:autoSpaceDE/>
        <w:autoSpaceDN/>
        <w:contextualSpacing/>
        <w:jc w:val="both"/>
      </w:pPr>
      <w:r w:rsidRPr="000B0027">
        <w:t xml:space="preserve">Szczegółowe regulacje dotyczące wykorzystania bonów rozwojowych, w tym warunków wykorzystania dofinansowania zostały określone w </w:t>
      </w:r>
      <w:r w:rsidRPr="000B0027">
        <w:rPr>
          <w:b/>
          <w:bCs/>
        </w:rPr>
        <w:t>REGULAMI</w:t>
      </w:r>
      <w:r w:rsidR="00CF0131" w:rsidRPr="000B0027">
        <w:rPr>
          <w:b/>
          <w:bCs/>
        </w:rPr>
        <w:t>NIE REKRUTACJI I UCZESTNICTWA W </w:t>
      </w:r>
      <w:r w:rsidRPr="000B0027">
        <w:rPr>
          <w:b/>
          <w:bCs/>
        </w:rPr>
        <w:t xml:space="preserve">PROJEKCIE </w:t>
      </w:r>
      <w:r w:rsidRPr="000B0027">
        <w:rPr>
          <w:b/>
        </w:rPr>
        <w:t>„Małopolskie Bony Rozwojowe plus” na lata 2020 – 2022</w:t>
      </w:r>
      <w:r w:rsidRPr="000B0027">
        <w:rPr>
          <w:b/>
          <w:bCs/>
        </w:rPr>
        <w:t xml:space="preserve">, </w:t>
      </w:r>
      <w:r w:rsidRPr="000B0027">
        <w:rPr>
          <w:bCs/>
        </w:rPr>
        <w:t>zwanego w dalszej części umowy Regulaminem</w:t>
      </w:r>
      <w:r w:rsidR="00F35500" w:rsidRPr="000B0027">
        <w:rPr>
          <w:bCs/>
        </w:rPr>
        <w:t xml:space="preserve"> rekrutacji</w:t>
      </w:r>
      <w:r w:rsidRPr="000B0027">
        <w:rPr>
          <w:b/>
          <w:bCs/>
        </w:rPr>
        <w:t>. Usługodawca</w:t>
      </w:r>
      <w:r w:rsidRPr="000B0027">
        <w:rPr>
          <w:bCs/>
        </w:rPr>
        <w:t xml:space="preserve"> akceptując niniejszy Regulamin oświadcza, że zapoznał się z wszystkimi zapisami Regulaminu rekrutacji i je akceptuje</w:t>
      </w:r>
      <w:r w:rsidR="0040779E" w:rsidRPr="000B0027">
        <w:rPr>
          <w:bCs/>
        </w:rPr>
        <w:t xml:space="preserve"> i jest zobowiązany do ich przestrzegania. Powyżej wskazane dokumentu uzupełniają się wzajemnie.</w:t>
      </w:r>
    </w:p>
    <w:p w14:paraId="305072E5" w14:textId="77777777" w:rsidR="00B54D5F" w:rsidRPr="000B0027" w:rsidRDefault="00B54D5F" w:rsidP="00B54D5F">
      <w:pPr>
        <w:spacing w:before="240"/>
        <w:jc w:val="center"/>
        <w:rPr>
          <w:b/>
        </w:rPr>
      </w:pPr>
      <w:r w:rsidRPr="000B0027">
        <w:rPr>
          <w:b/>
        </w:rPr>
        <w:t>§ 3</w:t>
      </w:r>
    </w:p>
    <w:p w14:paraId="19547D35" w14:textId="3F89724C" w:rsidR="00B54D5F" w:rsidRPr="000B0027" w:rsidRDefault="00B54D5F" w:rsidP="00B54D5F">
      <w:pPr>
        <w:jc w:val="center"/>
        <w:rPr>
          <w:b/>
        </w:rPr>
      </w:pPr>
      <w:r w:rsidRPr="000B0027">
        <w:rPr>
          <w:b/>
        </w:rPr>
        <w:t xml:space="preserve">Usługi możliwe do realizacji w ramach </w:t>
      </w:r>
      <w:r w:rsidR="00F35500" w:rsidRPr="000B0027">
        <w:rPr>
          <w:b/>
        </w:rPr>
        <w:t>p</w:t>
      </w:r>
      <w:r w:rsidRPr="000B0027">
        <w:rPr>
          <w:b/>
        </w:rPr>
        <w:t>rojektu</w:t>
      </w:r>
    </w:p>
    <w:p w14:paraId="59540EB4" w14:textId="77777777" w:rsidR="00B54D5F" w:rsidRPr="000B0027" w:rsidRDefault="00B54D5F" w:rsidP="00B54D5F">
      <w:pPr>
        <w:jc w:val="center"/>
        <w:rPr>
          <w:b/>
        </w:rPr>
      </w:pPr>
    </w:p>
    <w:p w14:paraId="08C4EEEE" w14:textId="16F2B071" w:rsidR="00B54D5F" w:rsidRPr="000B0027" w:rsidRDefault="00B54D5F" w:rsidP="00B54D5F">
      <w:pPr>
        <w:widowControl/>
        <w:numPr>
          <w:ilvl w:val="0"/>
          <w:numId w:val="4"/>
        </w:numPr>
        <w:autoSpaceDE/>
        <w:autoSpaceDN/>
        <w:spacing w:line="276" w:lineRule="auto"/>
        <w:contextualSpacing/>
        <w:jc w:val="both"/>
      </w:pPr>
      <w:r w:rsidRPr="000B0027">
        <w:lastRenderedPageBreak/>
        <w:t xml:space="preserve">Katalog Usług możliwych do realizacji w ramach </w:t>
      </w:r>
      <w:r w:rsidR="00F35500" w:rsidRPr="000B0027">
        <w:t>p</w:t>
      </w:r>
      <w:r w:rsidRPr="000B0027">
        <w:t xml:space="preserve">rojektu jest zamknięty i obejmuje następujące Usługi: </w:t>
      </w:r>
    </w:p>
    <w:p w14:paraId="060EC448" w14:textId="0E199749" w:rsidR="00B54D5F" w:rsidRPr="000B0027" w:rsidRDefault="000B0027" w:rsidP="00B54D5F">
      <w:pPr>
        <w:pStyle w:val="Akapitzlist"/>
        <w:widowControl/>
        <w:numPr>
          <w:ilvl w:val="0"/>
          <w:numId w:val="5"/>
        </w:numPr>
        <w:autoSpaceDE/>
        <w:autoSpaceDN/>
        <w:spacing w:line="276" w:lineRule="auto"/>
        <w:contextualSpacing/>
        <w:rPr>
          <w:rFonts w:eastAsia="Times New Roman"/>
          <w:iCs/>
        </w:rPr>
      </w:pPr>
      <w:r>
        <w:rPr>
          <w:iCs/>
        </w:rPr>
        <w:t>u</w:t>
      </w:r>
      <w:r w:rsidR="00B54D5F" w:rsidRPr="000B0027">
        <w:rPr>
          <w:iCs/>
        </w:rPr>
        <w:t>sługi szkoleniowe (szkolenia, studia podyplomowe,) – 1 godzina szkolenia jest rozumiana jako godzina dydaktyczna tj. 45 min</w:t>
      </w:r>
    </w:p>
    <w:p w14:paraId="7F8CAAE3" w14:textId="7CE5E42F" w:rsidR="00B54D5F" w:rsidRPr="000B0027" w:rsidRDefault="000B0027" w:rsidP="00B54D5F">
      <w:pPr>
        <w:pStyle w:val="Akapitzlist"/>
        <w:widowControl/>
        <w:numPr>
          <w:ilvl w:val="0"/>
          <w:numId w:val="5"/>
        </w:numPr>
        <w:autoSpaceDE/>
        <w:autoSpaceDN/>
        <w:spacing w:line="276" w:lineRule="auto"/>
        <w:contextualSpacing/>
        <w:rPr>
          <w:iCs/>
        </w:rPr>
      </w:pPr>
      <w:r>
        <w:rPr>
          <w:iCs/>
        </w:rPr>
        <w:t>u</w:t>
      </w:r>
      <w:r w:rsidR="00B54D5F" w:rsidRPr="000B0027">
        <w:rPr>
          <w:iCs/>
        </w:rPr>
        <w:t>sługi doradcze - 1 godzina doradztwa jest rozumiana jako godzina zegarowa tj. 60 min</w:t>
      </w:r>
    </w:p>
    <w:p w14:paraId="5284B129" w14:textId="278176B1" w:rsidR="00B54D5F" w:rsidRPr="000B0027" w:rsidRDefault="000B0027" w:rsidP="00B54D5F">
      <w:pPr>
        <w:pStyle w:val="Akapitzlist"/>
        <w:widowControl/>
        <w:numPr>
          <w:ilvl w:val="0"/>
          <w:numId w:val="5"/>
        </w:numPr>
        <w:autoSpaceDE/>
        <w:autoSpaceDN/>
        <w:spacing w:line="276" w:lineRule="auto"/>
        <w:contextualSpacing/>
        <w:jc w:val="both"/>
      </w:pPr>
      <w:r>
        <w:rPr>
          <w:iCs/>
        </w:rPr>
        <w:t>u</w:t>
      </w:r>
      <w:r w:rsidR="00B54D5F" w:rsidRPr="000B0027">
        <w:rPr>
          <w:iCs/>
        </w:rPr>
        <w:t>sługi</w:t>
      </w:r>
      <w:r w:rsidR="00B54D5F" w:rsidRPr="000B0027">
        <w:t xml:space="preserve"> jednorazowe (egzamin).</w:t>
      </w:r>
    </w:p>
    <w:p w14:paraId="2272486B" w14:textId="2E62AD43" w:rsidR="000B0027" w:rsidRPr="000B0027" w:rsidRDefault="000B0027" w:rsidP="00B54D5F">
      <w:pPr>
        <w:widowControl/>
        <w:numPr>
          <w:ilvl w:val="0"/>
          <w:numId w:val="4"/>
        </w:numPr>
        <w:autoSpaceDE/>
        <w:autoSpaceDN/>
        <w:spacing w:line="276" w:lineRule="auto"/>
        <w:contextualSpacing/>
        <w:jc w:val="both"/>
      </w:pPr>
      <w:r w:rsidRPr="000B0027">
        <w:t>Za niekwalifikowane uznaje się w ramach Projektu usługi szkoleniowe o charakterze e-learningowym. Dopuszcza się możliwość przeprowadzenia szkolenia, w którym część godzin ma formę e-learningu z zastrzeżenie</w:t>
      </w:r>
      <w:r w:rsidR="005D1319">
        <w:t>m</w:t>
      </w:r>
      <w:r w:rsidRPr="000B0027">
        <w:t xml:space="preserve"> jednak, że godziny usług świadczone w tej formie nie podlegają rozliczeniu.</w:t>
      </w:r>
    </w:p>
    <w:p w14:paraId="478D64E9" w14:textId="49D20974" w:rsidR="00B54D5F" w:rsidRPr="000B0027" w:rsidRDefault="00B54D5F" w:rsidP="00B54D5F">
      <w:pPr>
        <w:widowControl/>
        <w:numPr>
          <w:ilvl w:val="0"/>
          <w:numId w:val="4"/>
        </w:numPr>
        <w:autoSpaceDE/>
        <w:autoSpaceDN/>
        <w:spacing w:line="276" w:lineRule="auto"/>
        <w:contextualSpacing/>
        <w:jc w:val="both"/>
      </w:pPr>
      <w:r w:rsidRPr="000B0027">
        <w:t xml:space="preserve">W ramach </w:t>
      </w:r>
      <w:r w:rsidR="00F35500" w:rsidRPr="000B0027">
        <w:t>p</w:t>
      </w:r>
      <w:r w:rsidRPr="000B0027">
        <w:t xml:space="preserve">rojektu mogą być świadczone wyłącznie </w:t>
      </w:r>
      <w:r w:rsidR="00F35500" w:rsidRPr="000B0027">
        <w:t>u</w:t>
      </w:r>
      <w:r w:rsidRPr="000B0027">
        <w:t xml:space="preserve">sługi wprowadzone do </w:t>
      </w:r>
      <w:r w:rsidR="0040779E" w:rsidRPr="000B0027">
        <w:t xml:space="preserve">BUR </w:t>
      </w:r>
      <w:r w:rsidRPr="000B0027">
        <w:t xml:space="preserve">przed rozpoczęciem ich świadczenia przez </w:t>
      </w:r>
      <w:r w:rsidR="00F35500" w:rsidRPr="000B0027">
        <w:t>u</w:t>
      </w:r>
      <w:r w:rsidRPr="000B0027">
        <w:t xml:space="preserve">sługodawców, którzy mają uprawnienia do świadczenia usług </w:t>
      </w:r>
      <w:r w:rsidR="0040779E" w:rsidRPr="000B0027">
        <w:br/>
      </w:r>
      <w:r w:rsidRPr="000B0027">
        <w:t>z dofinasowaniem zgodnie z wymogami określonymi w Bazie Usług Rozwojowych, któr</w:t>
      </w:r>
      <w:r w:rsidR="00CF0131" w:rsidRPr="000B0027">
        <w:t xml:space="preserve">e zostały </w:t>
      </w:r>
      <w:r w:rsidR="0040779E" w:rsidRPr="000B0027">
        <w:br/>
      </w:r>
      <w:r w:rsidR="00CF0131" w:rsidRPr="000B0027">
        <w:t>co najmniej o</w:t>
      </w:r>
      <w:bookmarkStart w:id="1" w:name="_GoBack"/>
      <w:bookmarkEnd w:id="1"/>
      <w:r w:rsidR="00CF0131" w:rsidRPr="000B0027">
        <w:t>pisane w </w:t>
      </w:r>
      <w:r w:rsidRPr="000B0027">
        <w:t>Bazie wg poniższych zasad:</w:t>
      </w:r>
    </w:p>
    <w:p w14:paraId="16651185" w14:textId="19C1761E" w:rsidR="00B54D5F" w:rsidRPr="000B0027" w:rsidRDefault="0040779E" w:rsidP="00B54D5F">
      <w:pPr>
        <w:pStyle w:val="Akapitzlist"/>
        <w:widowControl/>
        <w:numPr>
          <w:ilvl w:val="1"/>
          <w:numId w:val="25"/>
        </w:numPr>
        <w:autoSpaceDE/>
        <w:autoSpaceDN/>
        <w:spacing w:line="276" w:lineRule="auto"/>
        <w:ind w:left="851" w:hanging="425"/>
        <w:contextualSpacing/>
        <w:jc w:val="both"/>
        <w:rPr>
          <w:bCs/>
          <w:color w:val="000000"/>
        </w:rPr>
      </w:pPr>
      <w:r w:rsidRPr="000B0027">
        <w:t>w</w:t>
      </w:r>
      <w:r w:rsidR="00B54D5F" w:rsidRPr="000B0027">
        <w:t xml:space="preserve"> przypadku usług szkoleniowych </w:t>
      </w:r>
      <w:r w:rsidR="00B54D5F" w:rsidRPr="000B0027">
        <w:rPr>
          <w:bCs/>
          <w:color w:val="000000"/>
        </w:rPr>
        <w:t xml:space="preserve">w polach </w:t>
      </w:r>
      <w:r w:rsidR="00B54D5F" w:rsidRPr="000B0027">
        <w:rPr>
          <w:bCs/>
          <w:i/>
          <w:color w:val="000000"/>
        </w:rPr>
        <w:t>cena netto/brutto za godzinę</w:t>
      </w:r>
      <w:r w:rsidR="00B54D5F" w:rsidRPr="000B0027">
        <w:rPr>
          <w:bCs/>
          <w:color w:val="000000"/>
        </w:rPr>
        <w:t xml:space="preserve"> należy wskazać odpowiednią cenę za godzinę dydaktyczną (45 minut); </w:t>
      </w:r>
    </w:p>
    <w:p w14:paraId="3E5DCABF" w14:textId="2DDD219C" w:rsidR="00B54D5F" w:rsidRPr="000B0027" w:rsidRDefault="0040779E" w:rsidP="00B54D5F">
      <w:pPr>
        <w:pStyle w:val="Akapitzlist"/>
        <w:widowControl/>
        <w:numPr>
          <w:ilvl w:val="1"/>
          <w:numId w:val="25"/>
        </w:numPr>
        <w:autoSpaceDE/>
        <w:autoSpaceDN/>
        <w:spacing w:line="276" w:lineRule="auto"/>
        <w:ind w:left="851" w:hanging="425"/>
        <w:contextualSpacing/>
        <w:jc w:val="both"/>
        <w:rPr>
          <w:bCs/>
          <w:color w:val="000000"/>
        </w:rPr>
      </w:pPr>
      <w:r w:rsidRPr="000B0027">
        <w:t>w</w:t>
      </w:r>
      <w:r w:rsidR="00B54D5F" w:rsidRPr="000B0027">
        <w:t xml:space="preserve"> przypadku usług doradczych</w:t>
      </w:r>
      <w:r w:rsidR="00B54D5F" w:rsidRPr="000B0027">
        <w:rPr>
          <w:bCs/>
          <w:color w:val="000000"/>
        </w:rPr>
        <w:t xml:space="preserve"> w polach </w:t>
      </w:r>
      <w:r w:rsidR="00B54D5F" w:rsidRPr="000B0027">
        <w:rPr>
          <w:bCs/>
          <w:i/>
          <w:color w:val="000000"/>
        </w:rPr>
        <w:t>cena netto/brutto za godzinę</w:t>
      </w:r>
      <w:r w:rsidR="00B54D5F" w:rsidRPr="000B0027">
        <w:rPr>
          <w:bCs/>
          <w:color w:val="000000"/>
        </w:rPr>
        <w:t xml:space="preserve"> należy wskazać odpowiednią cenę za godzinę zegarową (60 minut)</w:t>
      </w:r>
      <w:r w:rsidRPr="000B0027">
        <w:rPr>
          <w:bCs/>
          <w:color w:val="000000"/>
        </w:rPr>
        <w:t>;</w:t>
      </w:r>
    </w:p>
    <w:p w14:paraId="2F37DA67" w14:textId="28E8FB69" w:rsidR="00B54D5F" w:rsidRPr="000B0027" w:rsidRDefault="0040779E" w:rsidP="00B54D5F">
      <w:pPr>
        <w:pStyle w:val="Akapitzlist"/>
        <w:widowControl/>
        <w:numPr>
          <w:ilvl w:val="1"/>
          <w:numId w:val="25"/>
        </w:numPr>
        <w:autoSpaceDE/>
        <w:autoSpaceDN/>
        <w:spacing w:line="276" w:lineRule="auto"/>
        <w:ind w:left="851" w:hanging="425"/>
        <w:contextualSpacing/>
        <w:jc w:val="both"/>
        <w:rPr>
          <w:bCs/>
          <w:color w:val="000000"/>
        </w:rPr>
      </w:pPr>
      <w:r w:rsidRPr="000B0027">
        <w:t>w</w:t>
      </w:r>
      <w:r w:rsidR="00B54D5F" w:rsidRPr="000B0027">
        <w:t xml:space="preserve"> przypadku usług szkoleniowych </w:t>
      </w:r>
      <w:r w:rsidR="00B54D5F" w:rsidRPr="000B0027">
        <w:rPr>
          <w:bCs/>
          <w:color w:val="000000"/>
        </w:rPr>
        <w:t xml:space="preserve">w polu </w:t>
      </w:r>
      <w:r w:rsidR="00B54D5F" w:rsidRPr="000B0027">
        <w:rPr>
          <w:bCs/>
          <w:i/>
          <w:color w:val="000000"/>
        </w:rPr>
        <w:t>Liczba godzin usługi</w:t>
      </w:r>
      <w:r w:rsidR="00B54D5F" w:rsidRPr="000B0027">
        <w:rPr>
          <w:bCs/>
          <w:color w:val="000000"/>
        </w:rPr>
        <w:t xml:space="preserve"> należy wskazać liczbę godzin dydaktycznych (45 minut); </w:t>
      </w:r>
    </w:p>
    <w:p w14:paraId="0CC2732B" w14:textId="071FA167" w:rsidR="00B54D5F" w:rsidRPr="000B0027" w:rsidRDefault="00B54D5F" w:rsidP="00B54D5F">
      <w:pPr>
        <w:pStyle w:val="Akapitzlist"/>
        <w:widowControl/>
        <w:numPr>
          <w:ilvl w:val="1"/>
          <w:numId w:val="25"/>
        </w:numPr>
        <w:autoSpaceDE/>
        <w:autoSpaceDN/>
        <w:spacing w:line="276" w:lineRule="auto"/>
        <w:ind w:left="851" w:hanging="425"/>
        <w:contextualSpacing/>
        <w:jc w:val="both"/>
        <w:rPr>
          <w:bCs/>
          <w:color w:val="000000"/>
        </w:rPr>
      </w:pPr>
      <w:r w:rsidRPr="000B0027">
        <w:rPr>
          <w:bCs/>
          <w:color w:val="000000"/>
        </w:rPr>
        <w:t xml:space="preserve">w przypadku usług doradczych w polu </w:t>
      </w:r>
      <w:r w:rsidRPr="000B0027">
        <w:rPr>
          <w:bCs/>
          <w:i/>
          <w:color w:val="000000"/>
        </w:rPr>
        <w:t>Liczba godzin usługi</w:t>
      </w:r>
      <w:r w:rsidRPr="000B0027">
        <w:rPr>
          <w:bCs/>
          <w:color w:val="000000"/>
        </w:rPr>
        <w:t xml:space="preserve"> należy wskazać liczbę godzin zegarowych (60 minut)</w:t>
      </w:r>
      <w:r w:rsidR="0040779E" w:rsidRPr="000B0027">
        <w:rPr>
          <w:bCs/>
          <w:color w:val="000000"/>
        </w:rPr>
        <w:t>;</w:t>
      </w:r>
    </w:p>
    <w:p w14:paraId="1AC8F29E" w14:textId="0003BAB7" w:rsidR="00B54D5F" w:rsidRPr="000B0027" w:rsidRDefault="00B54D5F" w:rsidP="00B54D5F">
      <w:pPr>
        <w:pStyle w:val="Akapitzlist"/>
        <w:widowControl/>
        <w:numPr>
          <w:ilvl w:val="1"/>
          <w:numId w:val="25"/>
        </w:numPr>
        <w:autoSpaceDE/>
        <w:autoSpaceDN/>
        <w:spacing w:line="276" w:lineRule="auto"/>
        <w:ind w:left="851" w:hanging="425"/>
        <w:contextualSpacing/>
        <w:jc w:val="both"/>
        <w:rPr>
          <w:bCs/>
          <w:i/>
          <w:color w:val="000000"/>
        </w:rPr>
      </w:pPr>
      <w:r w:rsidRPr="000B0027">
        <w:rPr>
          <w:bCs/>
          <w:color w:val="000000"/>
        </w:rPr>
        <w:t xml:space="preserve">pole </w:t>
      </w:r>
      <w:r w:rsidRPr="000B0027">
        <w:rPr>
          <w:bCs/>
          <w:i/>
          <w:color w:val="000000"/>
        </w:rPr>
        <w:t>Informacje dodatkowe</w:t>
      </w:r>
      <w:r w:rsidRPr="000B0027">
        <w:rPr>
          <w:bCs/>
          <w:color w:val="000000"/>
        </w:rPr>
        <w:t xml:space="preserve"> w przypadku usług doradczych powinno zawiera</w:t>
      </w:r>
      <w:r w:rsidR="00CF0131" w:rsidRPr="000B0027">
        <w:rPr>
          <w:bCs/>
          <w:color w:val="000000"/>
        </w:rPr>
        <w:t>ć informację w </w:t>
      </w:r>
      <w:r w:rsidRPr="000B0027">
        <w:rPr>
          <w:bCs/>
          <w:color w:val="000000"/>
        </w:rPr>
        <w:t xml:space="preserve">zakresie ceny za godzinę netto/brutto na jednego uczestnika doradztwa (1 osoba/1godz) oraz liczby godzin zegarowych doradztwa przypadającej na jednego uczestnika). </w:t>
      </w:r>
    </w:p>
    <w:p w14:paraId="2A106181" w14:textId="77777777" w:rsidR="00B54D5F" w:rsidRPr="000B0027" w:rsidRDefault="00B54D5F" w:rsidP="00B54D5F">
      <w:pPr>
        <w:widowControl/>
        <w:numPr>
          <w:ilvl w:val="0"/>
          <w:numId w:val="4"/>
        </w:numPr>
        <w:autoSpaceDE/>
        <w:autoSpaceDN/>
        <w:spacing w:line="276" w:lineRule="auto"/>
        <w:contextualSpacing/>
        <w:jc w:val="both"/>
        <w:rPr>
          <w:bCs/>
        </w:rPr>
      </w:pPr>
      <w:r w:rsidRPr="000B0027">
        <w:rPr>
          <w:bCs/>
        </w:rPr>
        <w:t xml:space="preserve">Usługi muszą być realizowane zgodnie z założeniami zamieszczonymi w Karcie Usługi. Potwierdzenie uczestnictwa w usłudze powinno odbywać się poprzez własnoręczny podpis uczestnika na liście obecności lub innym dokumencie służącym do odnotowywania obecności na początku każdych zajęć. Listy obecności powinny być dostępne podczas całego czasu trwania zajęć. </w:t>
      </w:r>
    </w:p>
    <w:p w14:paraId="361F4C3B" w14:textId="724D4F2B" w:rsidR="00B54D5F" w:rsidRPr="000B0027" w:rsidRDefault="00B54D5F" w:rsidP="00B54D5F">
      <w:pPr>
        <w:pStyle w:val="Akapitzlist"/>
        <w:widowControl/>
        <w:numPr>
          <w:ilvl w:val="0"/>
          <w:numId w:val="4"/>
        </w:numPr>
        <w:autoSpaceDE/>
        <w:autoSpaceDN/>
        <w:spacing w:before="120" w:line="276" w:lineRule="auto"/>
        <w:contextualSpacing/>
        <w:jc w:val="both"/>
      </w:pPr>
      <w:r w:rsidRPr="000B0027">
        <w:t xml:space="preserve">Zgłoszenie na Usługę odbywa się za pośrednictwem </w:t>
      </w:r>
      <w:r w:rsidR="0040779E" w:rsidRPr="000B0027">
        <w:t>BUR</w:t>
      </w:r>
      <w:r w:rsidRPr="000B0027">
        <w:t xml:space="preserve">. Przedsiębiorcy wybierają </w:t>
      </w:r>
      <w:r w:rsidR="00800E7A" w:rsidRPr="000B0027">
        <w:t>u</w:t>
      </w:r>
      <w:r w:rsidRPr="000B0027">
        <w:t xml:space="preserve">sługę spośród wszystkich dostępnych w BUR i zapisują się na nią lub odpowiednio swojego </w:t>
      </w:r>
      <w:r w:rsidR="00800E7A" w:rsidRPr="000B0027">
        <w:t>p</w:t>
      </w:r>
      <w:r w:rsidRPr="000B0027">
        <w:t xml:space="preserve">racownika za pośrednictwem BUR, przy wykorzystaniu ID wsparcia otrzymanego w ramach projektu. </w:t>
      </w:r>
    </w:p>
    <w:p w14:paraId="69BC41BB" w14:textId="4E4BD5C4" w:rsidR="00B54D5F" w:rsidRPr="000B0027" w:rsidRDefault="00B54D5F" w:rsidP="00B54D5F">
      <w:pPr>
        <w:pStyle w:val="Akapitzlist"/>
        <w:widowControl/>
        <w:numPr>
          <w:ilvl w:val="0"/>
          <w:numId w:val="4"/>
        </w:numPr>
        <w:autoSpaceDE/>
        <w:autoSpaceDN/>
        <w:spacing w:before="120" w:line="276" w:lineRule="auto"/>
        <w:contextualSpacing/>
        <w:jc w:val="both"/>
      </w:pPr>
      <w:r w:rsidRPr="000B0027">
        <w:t xml:space="preserve">Projekt skierowany jest do instytucji, zapisu dokonuje się z profilu instytucjonalnego </w:t>
      </w:r>
      <w:r w:rsidR="00800E7A" w:rsidRPr="000B0027">
        <w:t>p</w:t>
      </w:r>
      <w:r w:rsidRPr="000B0027">
        <w:t>rzedsiębiorcy, wskazując odbiorców usług rozwojowych, którymi są uczestnicy indywidualni</w:t>
      </w:r>
      <w:r w:rsidR="008A2F87" w:rsidRPr="000B0027">
        <w:t>,</w:t>
      </w:r>
      <w:r w:rsidRPr="000B0027">
        <w:t xml:space="preserve"> tj. właściciel, korzystający z usługi osobiście lub skierowany przez niego </w:t>
      </w:r>
      <w:r w:rsidR="00800E7A" w:rsidRPr="000B0027">
        <w:t>p</w:t>
      </w:r>
      <w:r w:rsidRPr="000B0027">
        <w:t xml:space="preserve">racownik. Warunkiem koniecznym otrzymania dofinasowania na usługę jest dokonanie zapisu z wykorzystaniem ID wsparcia </w:t>
      </w:r>
      <w:r w:rsidR="00800E7A" w:rsidRPr="000B0027">
        <w:t>p</w:t>
      </w:r>
      <w:r w:rsidRPr="000B0027">
        <w:t xml:space="preserve">rzedsiębiorcy. </w:t>
      </w:r>
    </w:p>
    <w:p w14:paraId="76329C04" w14:textId="5E17D1A5" w:rsidR="00B54D5F" w:rsidRPr="000B0027" w:rsidRDefault="00B54D5F" w:rsidP="00B54D5F">
      <w:pPr>
        <w:pStyle w:val="Akapitzlist"/>
        <w:widowControl/>
        <w:numPr>
          <w:ilvl w:val="0"/>
          <w:numId w:val="4"/>
        </w:numPr>
        <w:suppressAutoHyphens/>
        <w:autoSpaceDE/>
        <w:autoSpaceDN/>
        <w:spacing w:before="120" w:line="276" w:lineRule="auto"/>
        <w:contextualSpacing/>
        <w:jc w:val="both"/>
      </w:pPr>
      <w:r w:rsidRPr="000B0027">
        <w:t xml:space="preserve">Usługi rozwojowe, które mają określony cel biznesowy w Karcie Usługi w BUR (dotyczy wyłącznie usługi doradczej: doradztwo) powinny być skierowane do kadry zarządzającej </w:t>
      </w:r>
      <w:r w:rsidR="00800E7A" w:rsidRPr="000B0027">
        <w:t>p</w:t>
      </w:r>
      <w:r w:rsidRPr="000B0027">
        <w:t xml:space="preserve">rzedsiębiorstwa </w:t>
      </w:r>
      <w:r w:rsidR="008A2F87" w:rsidRPr="000B0027">
        <w:br/>
      </w:r>
      <w:r w:rsidRPr="000B0027">
        <w:t xml:space="preserve">lub pracowników wskazanych przez kadrę zarządzającą </w:t>
      </w:r>
      <w:r w:rsidR="00800E7A" w:rsidRPr="000B0027">
        <w:t>p</w:t>
      </w:r>
      <w:r w:rsidRPr="000B0027">
        <w:t xml:space="preserve">rzedsiębiorstwa, która będzie w stanie ocenić po zakończeniu usługi rozwojowej czy w efekcie usługi rozwojowej został zrealizowany </w:t>
      </w:r>
      <w:r w:rsidR="008A2F87" w:rsidRPr="000B0027">
        <w:br/>
      </w:r>
      <w:r w:rsidRPr="000B0027">
        <w:t xml:space="preserve">cel rozwojowy zakładany dla </w:t>
      </w:r>
      <w:r w:rsidR="00800E7A" w:rsidRPr="000B0027">
        <w:t>p</w:t>
      </w:r>
      <w:r w:rsidRPr="000B0027">
        <w:t xml:space="preserve">rzedsiębiorstwa. W przypadku usługi doradczej, która ma cel biznesowy </w:t>
      </w:r>
      <w:r w:rsidR="00800E7A" w:rsidRPr="000B0027">
        <w:t>u</w:t>
      </w:r>
      <w:r w:rsidRPr="000B0027">
        <w:t xml:space="preserve">sługodawca nie jest zobowiązany do sprawdzenia poziomu kompetencji </w:t>
      </w:r>
      <w:r w:rsidR="00800E7A" w:rsidRPr="000B0027">
        <w:t>u</w:t>
      </w:r>
      <w:r w:rsidRPr="000B0027">
        <w:t xml:space="preserve">czestników usługi doradczej. Efekty, które zostaną osiągnięte po zakończeniu udziału w usłudze w tym przypadku </w:t>
      </w:r>
      <w:r w:rsidR="008A2F87" w:rsidRPr="000B0027">
        <w:br/>
      </w:r>
      <w:r w:rsidRPr="000B0027">
        <w:t xml:space="preserve">to produkty. </w:t>
      </w:r>
    </w:p>
    <w:p w14:paraId="0E9833AD" w14:textId="44C27EC3" w:rsidR="00B54D5F" w:rsidRPr="000B0027" w:rsidRDefault="00B54D5F" w:rsidP="00B54D5F">
      <w:pPr>
        <w:pStyle w:val="Akapitzlist"/>
        <w:widowControl/>
        <w:numPr>
          <w:ilvl w:val="0"/>
          <w:numId w:val="4"/>
        </w:numPr>
        <w:autoSpaceDE/>
        <w:autoSpaceDN/>
        <w:spacing w:before="120" w:line="276" w:lineRule="auto"/>
        <w:contextualSpacing/>
        <w:jc w:val="both"/>
        <w:rPr>
          <w:bCs/>
        </w:rPr>
      </w:pPr>
      <w:r w:rsidRPr="000B0027">
        <w:t xml:space="preserve">Usługodawca, w zakresie realizowanej </w:t>
      </w:r>
      <w:r w:rsidR="00800E7A" w:rsidRPr="000B0027">
        <w:t>u</w:t>
      </w:r>
      <w:r w:rsidRPr="000B0027">
        <w:t xml:space="preserve">sługi rozwojowej, z wyłączeniem usług doradczych, które mają wyznaczony cel biznesowy i kończą się wytworzeniem konkretnego produktu zobowiązany jest do sprawdzenia poziomu kompetencji każdego </w:t>
      </w:r>
      <w:r w:rsidR="00800E7A" w:rsidRPr="000B0027">
        <w:t>u</w:t>
      </w:r>
      <w:r w:rsidRPr="000B0027">
        <w:t xml:space="preserve">czestnika </w:t>
      </w:r>
      <w:r w:rsidR="00800E7A" w:rsidRPr="000B0027">
        <w:t>p</w:t>
      </w:r>
      <w:r w:rsidRPr="000B0027">
        <w:t>rojektu</w:t>
      </w:r>
      <w:r w:rsidR="00B144FE">
        <w:t xml:space="preserve">. </w:t>
      </w:r>
      <w:r w:rsidRPr="000B0027">
        <w:t xml:space="preserve">. </w:t>
      </w:r>
    </w:p>
    <w:p w14:paraId="00032ED2" w14:textId="6F22211F" w:rsidR="00B54D5F" w:rsidRPr="000B0027" w:rsidRDefault="00B54D5F" w:rsidP="00B54D5F">
      <w:pPr>
        <w:pStyle w:val="Akapitzlist"/>
        <w:widowControl/>
        <w:numPr>
          <w:ilvl w:val="0"/>
          <w:numId w:val="4"/>
        </w:numPr>
        <w:autoSpaceDE/>
        <w:autoSpaceDN/>
        <w:spacing w:line="276" w:lineRule="auto"/>
        <w:contextualSpacing/>
        <w:jc w:val="both"/>
        <w:rPr>
          <w:bCs/>
        </w:rPr>
      </w:pPr>
      <w:r w:rsidRPr="000B0027">
        <w:rPr>
          <w:bCs/>
        </w:rPr>
        <w:t xml:space="preserve">Usługami niekwalifikowalnymi w ramach projektu </w:t>
      </w:r>
      <w:r w:rsidR="00800E7A" w:rsidRPr="000B0027">
        <w:rPr>
          <w:bCs/>
        </w:rPr>
        <w:t>„</w:t>
      </w:r>
      <w:r w:rsidRPr="000B0027">
        <w:rPr>
          <w:bCs/>
        </w:rPr>
        <w:t>Małopolskie Bony Rozwojowe plus</w:t>
      </w:r>
      <w:r w:rsidR="00800E7A" w:rsidRPr="000B0027">
        <w:rPr>
          <w:bCs/>
        </w:rPr>
        <w:t>”</w:t>
      </w:r>
      <w:r w:rsidRPr="000B0027">
        <w:rPr>
          <w:bCs/>
        </w:rPr>
        <w:t xml:space="preserve"> są:</w:t>
      </w:r>
    </w:p>
    <w:p w14:paraId="1527DFE5" w14:textId="4DA2B122" w:rsidR="00B54D5F" w:rsidRPr="000B0027" w:rsidRDefault="008A2F87" w:rsidP="00B54D5F">
      <w:pPr>
        <w:pStyle w:val="Akapitzlist"/>
        <w:widowControl/>
        <w:numPr>
          <w:ilvl w:val="0"/>
          <w:numId w:val="6"/>
        </w:numPr>
        <w:autoSpaceDE/>
        <w:autoSpaceDN/>
        <w:spacing w:line="276" w:lineRule="auto"/>
        <w:ind w:left="709" w:hanging="283"/>
        <w:contextualSpacing/>
        <w:jc w:val="both"/>
        <w:rPr>
          <w:bCs/>
        </w:rPr>
      </w:pPr>
      <w:r w:rsidRPr="000B0027">
        <w:rPr>
          <w:bCs/>
        </w:rPr>
        <w:t>u</w:t>
      </w:r>
      <w:r w:rsidR="00B54D5F" w:rsidRPr="000B0027">
        <w:rPr>
          <w:bCs/>
        </w:rPr>
        <w:t>sługi, których obowiązek przeprowadzenia na zajmowanym stanowisku pracy wynika z odrębnych przepisów prawa (np. wstępne i okresowe szkolenia z zakresu bezpieczeństwa i higieny pracy, szkolenia okresowe potwierdzające kwalifikacje na zajmowanym stanowisku pracy);</w:t>
      </w:r>
    </w:p>
    <w:p w14:paraId="35C5111C" w14:textId="75723B5E" w:rsidR="00B54D5F" w:rsidRPr="000B0027" w:rsidRDefault="008A2F87" w:rsidP="00B54D5F">
      <w:pPr>
        <w:pStyle w:val="Akapitzlist"/>
        <w:widowControl/>
        <w:numPr>
          <w:ilvl w:val="0"/>
          <w:numId w:val="6"/>
        </w:numPr>
        <w:autoSpaceDE/>
        <w:autoSpaceDN/>
        <w:spacing w:line="276" w:lineRule="auto"/>
        <w:ind w:left="709" w:hanging="283"/>
        <w:contextualSpacing/>
        <w:jc w:val="both"/>
        <w:rPr>
          <w:bCs/>
        </w:rPr>
      </w:pPr>
      <w:r w:rsidRPr="000B0027">
        <w:rPr>
          <w:bCs/>
        </w:rPr>
        <w:lastRenderedPageBreak/>
        <w:t>u</w:t>
      </w:r>
      <w:r w:rsidR="00B54D5F" w:rsidRPr="000B0027">
        <w:rPr>
          <w:bCs/>
        </w:rPr>
        <w:t>sługi inne niż wskazane w ust. 1</w:t>
      </w:r>
      <w:r w:rsidR="008D7BA3" w:rsidRPr="000B0027">
        <w:rPr>
          <w:bCs/>
        </w:rPr>
        <w:t>, z zastrzeżeniem zapisów zawartych w ust 2</w:t>
      </w:r>
      <w:r w:rsidR="00B54D5F" w:rsidRPr="000B0027">
        <w:rPr>
          <w:bCs/>
        </w:rPr>
        <w:t>.</w:t>
      </w:r>
    </w:p>
    <w:p w14:paraId="642E3A52" w14:textId="2B8D3F7D" w:rsidR="00B54D5F" w:rsidRPr="000B0027" w:rsidRDefault="00B54D5F" w:rsidP="00B54D5F">
      <w:pPr>
        <w:pStyle w:val="Akapitzlist"/>
        <w:widowControl/>
        <w:numPr>
          <w:ilvl w:val="0"/>
          <w:numId w:val="4"/>
        </w:numPr>
        <w:autoSpaceDE/>
        <w:autoSpaceDN/>
        <w:spacing w:line="276" w:lineRule="auto"/>
        <w:contextualSpacing/>
        <w:jc w:val="both"/>
        <w:rPr>
          <w:bCs/>
        </w:rPr>
      </w:pPr>
      <w:r w:rsidRPr="000B0027">
        <w:rPr>
          <w:bCs/>
        </w:rPr>
        <w:t xml:space="preserve">Kosztami niekwalifikowalnymi są koszty niezwiązane bezpośrednio z </w:t>
      </w:r>
      <w:r w:rsidR="00800E7A" w:rsidRPr="000B0027">
        <w:rPr>
          <w:bCs/>
        </w:rPr>
        <w:t>u</w:t>
      </w:r>
      <w:r w:rsidRPr="000B0027">
        <w:rPr>
          <w:bCs/>
        </w:rPr>
        <w:t xml:space="preserve">sługą, w szczególności koszty środków trwałych przekazywanych </w:t>
      </w:r>
      <w:r w:rsidR="00800E7A" w:rsidRPr="000B0027">
        <w:rPr>
          <w:bCs/>
        </w:rPr>
        <w:t>u</w:t>
      </w:r>
      <w:r w:rsidRPr="000B0027">
        <w:rPr>
          <w:bCs/>
        </w:rPr>
        <w:t xml:space="preserve">czestnikom </w:t>
      </w:r>
      <w:r w:rsidR="00CF0131" w:rsidRPr="000B0027">
        <w:rPr>
          <w:bCs/>
        </w:rPr>
        <w:t>projektu</w:t>
      </w:r>
      <w:r w:rsidRPr="000B0027">
        <w:rPr>
          <w:bCs/>
        </w:rPr>
        <w:t>, koszty dojazdu i zakw</w:t>
      </w:r>
      <w:r w:rsidR="00CF0131" w:rsidRPr="000B0027">
        <w:rPr>
          <w:bCs/>
        </w:rPr>
        <w:t>aterowania, z </w:t>
      </w:r>
      <w:r w:rsidRPr="000B0027">
        <w:rPr>
          <w:bCs/>
        </w:rPr>
        <w:t xml:space="preserve">wyłączeniem kosztów związanych z pokryciem specyficznych potrzeb osób </w:t>
      </w:r>
      <w:r w:rsidR="008A2F87" w:rsidRPr="000B0027">
        <w:rPr>
          <w:bCs/>
        </w:rPr>
        <w:br/>
      </w:r>
      <w:r w:rsidRPr="000B0027">
        <w:rPr>
          <w:bCs/>
        </w:rPr>
        <w:t xml:space="preserve">z niepełnosprawnościami, które mogą zostać sfinansowane bezpośrednio w ramach </w:t>
      </w:r>
      <w:r w:rsidR="00800E7A" w:rsidRPr="000B0027">
        <w:rPr>
          <w:bCs/>
        </w:rPr>
        <w:t>p</w:t>
      </w:r>
      <w:r w:rsidRPr="000B0027">
        <w:rPr>
          <w:bCs/>
        </w:rPr>
        <w:t xml:space="preserve">rojektu </w:t>
      </w:r>
      <w:r w:rsidR="008A2F87" w:rsidRPr="000B0027">
        <w:rPr>
          <w:bCs/>
        </w:rPr>
        <w:br/>
      </w:r>
      <w:r w:rsidRPr="000B0027">
        <w:rPr>
          <w:bCs/>
        </w:rPr>
        <w:t>w ramach mechanizmu racjonalnych usprawnień.</w:t>
      </w:r>
    </w:p>
    <w:p w14:paraId="5C804789" w14:textId="77777777" w:rsidR="00B54D5F" w:rsidRPr="000B0027" w:rsidRDefault="00B54D5F" w:rsidP="00B54D5F">
      <w:pPr>
        <w:spacing w:before="240"/>
        <w:ind w:left="426"/>
        <w:jc w:val="center"/>
        <w:rPr>
          <w:b/>
          <w:bCs/>
          <w:color w:val="000000"/>
        </w:rPr>
      </w:pPr>
      <w:r w:rsidRPr="000B0027">
        <w:rPr>
          <w:b/>
          <w:bCs/>
          <w:color w:val="000000"/>
        </w:rPr>
        <w:t>§ 4</w:t>
      </w:r>
    </w:p>
    <w:p w14:paraId="40453440" w14:textId="77777777" w:rsidR="00B54D5F" w:rsidRPr="000B0027" w:rsidRDefault="00B54D5F" w:rsidP="00B54D5F">
      <w:pPr>
        <w:jc w:val="center"/>
        <w:rPr>
          <w:b/>
        </w:rPr>
      </w:pPr>
      <w:r w:rsidRPr="000B0027">
        <w:rPr>
          <w:b/>
        </w:rPr>
        <w:t>Bony rozwojowe oraz warunki ich rozliczania</w:t>
      </w:r>
    </w:p>
    <w:p w14:paraId="39F26127" w14:textId="77777777" w:rsidR="00B54D5F" w:rsidRPr="000B0027" w:rsidRDefault="00B54D5F" w:rsidP="00B54D5F">
      <w:pPr>
        <w:jc w:val="center"/>
        <w:rPr>
          <w:b/>
        </w:rPr>
      </w:pPr>
    </w:p>
    <w:p w14:paraId="2285F035" w14:textId="732A3F55" w:rsidR="00B54D5F" w:rsidRPr="000B0027" w:rsidRDefault="00B54D5F" w:rsidP="00B54D5F">
      <w:pPr>
        <w:pStyle w:val="Akapitzlist"/>
        <w:widowControl/>
        <w:numPr>
          <w:ilvl w:val="0"/>
          <w:numId w:val="7"/>
        </w:numPr>
        <w:autoSpaceDE/>
        <w:autoSpaceDN/>
        <w:spacing w:line="276" w:lineRule="auto"/>
        <w:ind w:left="567"/>
        <w:contextualSpacing/>
        <w:jc w:val="both"/>
      </w:pPr>
      <w:r w:rsidRPr="000B0027">
        <w:t xml:space="preserve">W przypadku pierwszego zapisu przez </w:t>
      </w:r>
      <w:r w:rsidR="00800E7A" w:rsidRPr="000B0027">
        <w:t>p</w:t>
      </w:r>
      <w:r w:rsidRPr="000B0027">
        <w:t>rzedsiębiorcę na usługę rozwojową w ramach BUR,</w:t>
      </w:r>
      <w:r w:rsidR="00CF0131" w:rsidRPr="000B0027">
        <w:t xml:space="preserve"> </w:t>
      </w:r>
      <w:r w:rsidR="00800E7A" w:rsidRPr="000B0027">
        <w:t>u</w:t>
      </w:r>
      <w:r w:rsidRPr="000B0027">
        <w:t>sługodawca otrzyma informację na adres mailowy osob</w:t>
      </w:r>
      <w:r w:rsidR="00CF0131" w:rsidRPr="000B0027">
        <w:t>y do kontaktu wskazany w BUR, z </w:t>
      </w:r>
      <w:r w:rsidRPr="000B0027">
        <w:t xml:space="preserve">danymi do logowania, o wyborze jego jednostki na usługę rozwojową w ramach projektu. Szczegółowe informacje dotyczące dofinasowania usługi z wykorzystaniem bonów, będę dostępne dla </w:t>
      </w:r>
      <w:r w:rsidR="00800E7A" w:rsidRPr="000B0027">
        <w:t>u</w:t>
      </w:r>
      <w:r w:rsidRPr="000B0027">
        <w:t xml:space="preserve">sługodawcy po zaakceptowaniu przedmiotowego </w:t>
      </w:r>
      <w:r w:rsidR="000B0027">
        <w:t>R</w:t>
      </w:r>
      <w:r w:rsidRPr="000B0027">
        <w:t xml:space="preserve">egulaminu w ramach systemu Mbon. </w:t>
      </w:r>
    </w:p>
    <w:p w14:paraId="075CEF55" w14:textId="1E25C2CD" w:rsidR="00B54D5F" w:rsidRPr="000B0027" w:rsidRDefault="00B54D5F" w:rsidP="00B54D5F">
      <w:pPr>
        <w:pStyle w:val="Akapitzlist"/>
        <w:widowControl/>
        <w:numPr>
          <w:ilvl w:val="0"/>
          <w:numId w:val="7"/>
        </w:numPr>
        <w:autoSpaceDE/>
        <w:autoSpaceDN/>
        <w:spacing w:line="276" w:lineRule="auto"/>
        <w:ind w:left="567"/>
        <w:contextualSpacing/>
        <w:jc w:val="both"/>
      </w:pPr>
      <w:r w:rsidRPr="000B0027">
        <w:t xml:space="preserve">Warunkiem realizacji i rozliczenia usługi rozwojowej przez </w:t>
      </w:r>
      <w:r w:rsidR="00800E7A" w:rsidRPr="000B0027">
        <w:t>u</w:t>
      </w:r>
      <w:r w:rsidRPr="000B0027">
        <w:t xml:space="preserve">sługodawcę w ramach Projektu jest zalogowanie się do sytemu i akceptacja Regulaminu (Regulaminu rozliczania usług rozwojowych </w:t>
      </w:r>
      <w:r w:rsidR="008A2F87" w:rsidRPr="000B0027">
        <w:br/>
      </w:r>
      <w:r w:rsidRPr="000B0027">
        <w:t xml:space="preserve">z wykorzystaniem elektronicznych bonów rozwojowych w ramach projektu „Małopolskie Bony Rozwojowe plus”). W przypadku braku akceptacji Regulaminu, </w:t>
      </w:r>
      <w:r w:rsidR="00800E7A" w:rsidRPr="000B0027">
        <w:t>u</w:t>
      </w:r>
      <w:r w:rsidRPr="000B0027">
        <w:t xml:space="preserve">sługodawca nie będzie miał możliwości wejścia do sytemu, wróci do okna logowania. </w:t>
      </w:r>
    </w:p>
    <w:p w14:paraId="13564DB3" w14:textId="69AB5CAE" w:rsidR="00B54D5F" w:rsidRPr="000B0027" w:rsidRDefault="00B54D5F" w:rsidP="00B54D5F">
      <w:pPr>
        <w:pStyle w:val="Akapitzlist"/>
        <w:widowControl/>
        <w:numPr>
          <w:ilvl w:val="0"/>
          <w:numId w:val="7"/>
        </w:numPr>
        <w:autoSpaceDE/>
        <w:autoSpaceDN/>
        <w:spacing w:line="276" w:lineRule="auto"/>
        <w:contextualSpacing/>
        <w:jc w:val="both"/>
      </w:pPr>
      <w:r w:rsidRPr="000B0027">
        <w:t>Usługodawca w ramach funkcjonalności systemu dokonuje ws</w:t>
      </w:r>
      <w:r w:rsidR="00CF0131" w:rsidRPr="000B0027">
        <w:t>zystkich czynności związanych z </w:t>
      </w:r>
      <w:r w:rsidRPr="000B0027">
        <w:t>realizacją usługi</w:t>
      </w:r>
      <w:r w:rsidR="008A2F87" w:rsidRPr="000B0027">
        <w:t>,</w:t>
      </w:r>
      <w:r w:rsidRPr="000B0027">
        <w:t xml:space="preserve"> tj. potwierdza gotowość do realizacji usługi rozwojowej, jej faktyczne wykonanie poprzez zmiany w statusach przekazanych bonów zarezerwowanych na daną usługę oraz </w:t>
      </w:r>
      <w:r w:rsidR="008A2F87" w:rsidRPr="000B0027">
        <w:br/>
      </w:r>
      <w:r w:rsidRPr="000B0027">
        <w:t xml:space="preserve">jej rozliczenie. Po akceptacji niniejszego Regulaminu w przypadku świadczenia pierwszej usługi </w:t>
      </w:r>
      <w:r w:rsidR="008A2F87" w:rsidRPr="000B0027">
        <w:br/>
      </w:r>
      <w:r w:rsidRPr="000B0027">
        <w:t xml:space="preserve">lub odpowiednio potwierdzeniu gotowości do realizacji kolejnej usługi w ramach funkcjonalności systemu </w:t>
      </w:r>
      <w:r w:rsidR="00800E7A" w:rsidRPr="000B0027">
        <w:t>u</w:t>
      </w:r>
      <w:r w:rsidRPr="000B0027">
        <w:t xml:space="preserve">sługodawca będzie miał dostęp do danych dotyczących usługi, którą będzie realizował </w:t>
      </w:r>
      <w:r w:rsidR="008A2F87" w:rsidRPr="000B0027">
        <w:br/>
      </w:r>
      <w:r w:rsidRPr="000B0027">
        <w:t xml:space="preserve">z udziałem </w:t>
      </w:r>
      <w:r w:rsidR="00800E7A" w:rsidRPr="000B0027">
        <w:t>u</w:t>
      </w:r>
      <w:r w:rsidRPr="000B0027">
        <w:t>czestnika projektu, który dokonał na nią zapisu w ramach funkcjonalności BUR w zakresie:</w:t>
      </w:r>
    </w:p>
    <w:p w14:paraId="70EF79E1" w14:textId="4148BDD8" w:rsidR="00B54D5F" w:rsidRPr="000B0027" w:rsidRDefault="00B54D5F" w:rsidP="00B54D5F">
      <w:pPr>
        <w:pStyle w:val="Akapitzlist"/>
        <w:widowControl/>
        <w:numPr>
          <w:ilvl w:val="0"/>
          <w:numId w:val="8"/>
        </w:numPr>
        <w:autoSpaceDE/>
        <w:autoSpaceDN/>
        <w:spacing w:line="276" w:lineRule="auto"/>
        <w:ind w:left="709"/>
        <w:contextualSpacing/>
        <w:jc w:val="both"/>
        <w:rPr>
          <w:bCs/>
        </w:rPr>
      </w:pPr>
      <w:r w:rsidRPr="000B0027">
        <w:rPr>
          <w:bCs/>
        </w:rPr>
        <w:t xml:space="preserve">wykazu bonów wraz z unikatowym kodem kreskowym, które zostały zarezerwowane w związku </w:t>
      </w:r>
      <w:r w:rsidR="008A2F87" w:rsidRPr="000B0027">
        <w:rPr>
          <w:bCs/>
        </w:rPr>
        <w:br/>
      </w:r>
      <w:r w:rsidRPr="000B0027">
        <w:rPr>
          <w:bCs/>
        </w:rPr>
        <w:t xml:space="preserve">ze zgłoszeniem na usługę rozwojową realizowaną przez </w:t>
      </w:r>
      <w:r w:rsidR="00800E7A" w:rsidRPr="000B0027">
        <w:rPr>
          <w:bCs/>
        </w:rPr>
        <w:t>u</w:t>
      </w:r>
      <w:r w:rsidRPr="000B0027">
        <w:rPr>
          <w:bCs/>
        </w:rPr>
        <w:t>sługodawcę</w:t>
      </w:r>
      <w:r w:rsidR="008A2F87" w:rsidRPr="000B0027">
        <w:rPr>
          <w:bCs/>
        </w:rPr>
        <w:t>;</w:t>
      </w:r>
    </w:p>
    <w:p w14:paraId="2E23B33C" w14:textId="77777777" w:rsidR="00B54D5F" w:rsidRPr="000B0027" w:rsidRDefault="00B54D5F" w:rsidP="00B54D5F">
      <w:pPr>
        <w:pStyle w:val="Akapitzlist"/>
        <w:widowControl/>
        <w:numPr>
          <w:ilvl w:val="0"/>
          <w:numId w:val="8"/>
        </w:numPr>
        <w:autoSpaceDE/>
        <w:autoSpaceDN/>
        <w:spacing w:line="276" w:lineRule="auto"/>
        <w:ind w:left="709" w:hanging="283"/>
        <w:contextualSpacing/>
        <w:jc w:val="both"/>
      </w:pPr>
      <w:r w:rsidRPr="000B0027">
        <w:rPr>
          <w:bCs/>
        </w:rPr>
        <w:t>daty, do której najpóźniej musi być zakończona usługa rozwojowa, w związku z terminem ważności bonów;</w:t>
      </w:r>
    </w:p>
    <w:p w14:paraId="2A9FE070" w14:textId="1EA7F1CB" w:rsidR="00B54D5F" w:rsidRPr="000B0027" w:rsidRDefault="00B54D5F" w:rsidP="00B54D5F">
      <w:pPr>
        <w:pStyle w:val="Akapitzlist"/>
        <w:widowControl/>
        <w:numPr>
          <w:ilvl w:val="0"/>
          <w:numId w:val="8"/>
        </w:numPr>
        <w:autoSpaceDE/>
        <w:autoSpaceDN/>
        <w:spacing w:line="276" w:lineRule="auto"/>
        <w:ind w:left="709" w:hanging="283"/>
        <w:contextualSpacing/>
        <w:jc w:val="both"/>
      </w:pPr>
      <w:r w:rsidRPr="000B0027">
        <w:rPr>
          <w:bCs/>
        </w:rPr>
        <w:t>danych osób (</w:t>
      </w:r>
      <w:r w:rsidR="00800E7A" w:rsidRPr="000B0027">
        <w:rPr>
          <w:bCs/>
        </w:rPr>
        <w:t>p</w:t>
      </w:r>
      <w:r w:rsidRPr="000B0027">
        <w:rPr>
          <w:bCs/>
        </w:rPr>
        <w:t xml:space="preserve">rzedsiębiorcy jeżeli bierze udział w usłudze osobiście lub skierowanego przez </w:t>
      </w:r>
      <w:r w:rsidR="00800E7A" w:rsidRPr="000B0027">
        <w:rPr>
          <w:bCs/>
        </w:rPr>
        <w:t>p</w:t>
      </w:r>
      <w:r w:rsidRPr="000B0027">
        <w:rPr>
          <w:bCs/>
        </w:rPr>
        <w:t>rzedsiębiorcę pracownika), które będą mogły otrzymać dofinansowanie na usługę rozwojową</w:t>
      </w:r>
      <w:r w:rsidR="00CF0131" w:rsidRPr="000B0027">
        <w:t xml:space="preserve"> w </w:t>
      </w:r>
      <w:r w:rsidRPr="000B0027">
        <w:t xml:space="preserve">ramach </w:t>
      </w:r>
      <w:r w:rsidR="00800E7A" w:rsidRPr="000B0027">
        <w:t>p</w:t>
      </w:r>
      <w:r w:rsidRPr="000B0027">
        <w:t>rojektu, zgodnie ze zgłoszeniem dokonanym w BUR</w:t>
      </w:r>
      <w:r w:rsidR="008A2F87" w:rsidRPr="000B0027">
        <w:t>.</w:t>
      </w:r>
    </w:p>
    <w:p w14:paraId="5271E1C8" w14:textId="41257D1F" w:rsidR="00B54D5F" w:rsidRPr="000B0027" w:rsidRDefault="00B54D5F" w:rsidP="00B54D5F">
      <w:pPr>
        <w:pStyle w:val="Akapitzlist"/>
        <w:widowControl/>
        <w:numPr>
          <w:ilvl w:val="0"/>
          <w:numId w:val="7"/>
        </w:numPr>
        <w:autoSpaceDE/>
        <w:autoSpaceDN/>
        <w:spacing w:line="276" w:lineRule="auto"/>
        <w:contextualSpacing/>
        <w:jc w:val="both"/>
      </w:pPr>
      <w:bookmarkStart w:id="2" w:name="_Hlk1648884"/>
      <w:r w:rsidRPr="000B0027">
        <w:t xml:space="preserve">W przypadku zmian w harmonogramie usługi rozwojowej, </w:t>
      </w:r>
      <w:r w:rsidR="00800E7A" w:rsidRPr="000B0027">
        <w:t>u</w:t>
      </w:r>
      <w:r w:rsidRPr="000B0027">
        <w:t xml:space="preserve">sługodawca powinien z wyprzedzeniem, określonym zgodnie z regulaminem BUR, dokonać odpowiednich zmian w BUR, a w przypadkach nagłych/losowych </w:t>
      </w:r>
      <w:r w:rsidR="00800E7A" w:rsidRPr="000B0027">
        <w:t xml:space="preserve">przesłać </w:t>
      </w:r>
      <w:r w:rsidRPr="000B0027">
        <w:t xml:space="preserve">mailowo </w:t>
      </w:r>
      <w:r w:rsidR="001F6AB3">
        <w:t xml:space="preserve">do </w:t>
      </w:r>
      <w:r w:rsidR="001F6AB3" w:rsidRPr="000B0027">
        <w:t xml:space="preserve">MARR S.A. </w:t>
      </w:r>
      <w:r w:rsidR="00800E7A" w:rsidRPr="000B0027">
        <w:t xml:space="preserve">informacje </w:t>
      </w:r>
      <w:r w:rsidRPr="000B0027">
        <w:t>na adres: kontrol</w:t>
      </w:r>
      <w:r w:rsidR="00CF0131" w:rsidRPr="000B0027">
        <w:t>ambon</w:t>
      </w:r>
      <w:r w:rsidR="00B144FE">
        <w:t>plus</w:t>
      </w:r>
      <w:r w:rsidR="00CF0131" w:rsidRPr="000B0027">
        <w:t>@marr.pl o </w:t>
      </w:r>
      <w:r w:rsidRPr="000B0027">
        <w:t>odwołaniu w danym dniu usługi</w:t>
      </w:r>
      <w:r w:rsidR="00800E7A" w:rsidRPr="000B0027">
        <w:t>,</w:t>
      </w:r>
      <w:r w:rsidR="00CF0131" w:rsidRPr="000B0027">
        <w:t xml:space="preserve"> </w:t>
      </w:r>
      <w:r w:rsidRPr="000B0027">
        <w:t>zmianie prowadzącego</w:t>
      </w:r>
      <w:r w:rsidR="00800E7A" w:rsidRPr="000B0027">
        <w:t xml:space="preserve"> lub zmianie miejsca realizacji usługi</w:t>
      </w:r>
      <w:r w:rsidRPr="000B0027">
        <w:t>.</w:t>
      </w:r>
    </w:p>
    <w:bookmarkEnd w:id="2"/>
    <w:p w14:paraId="75EF9F3A" w14:textId="5E84F01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W przypadku zablokowania </w:t>
      </w:r>
      <w:r w:rsidR="00800E7A" w:rsidRPr="000B0027">
        <w:t>u</w:t>
      </w:r>
      <w:r w:rsidRPr="000B0027">
        <w:t xml:space="preserve">sługi przez administratora BUR, </w:t>
      </w:r>
      <w:r w:rsidR="00800E7A" w:rsidRPr="000B0027">
        <w:t>u</w:t>
      </w:r>
      <w:r w:rsidRPr="000B0027">
        <w:t xml:space="preserve">sługodawca ma obowiązek odrzucić zgłoszenie </w:t>
      </w:r>
      <w:r w:rsidR="00800E7A" w:rsidRPr="000B0027">
        <w:t>u</w:t>
      </w:r>
      <w:r w:rsidRPr="000B0027">
        <w:t xml:space="preserve">czestnika </w:t>
      </w:r>
      <w:r w:rsidR="00800E7A" w:rsidRPr="000B0027">
        <w:t>p</w:t>
      </w:r>
      <w:r w:rsidRPr="000B0027">
        <w:t xml:space="preserve">rojektu. Koszt udziału </w:t>
      </w:r>
      <w:r w:rsidR="00800E7A" w:rsidRPr="000B0027">
        <w:t>u</w:t>
      </w:r>
      <w:r w:rsidRPr="000B0027">
        <w:t xml:space="preserve">czestnika </w:t>
      </w:r>
      <w:r w:rsidR="00800E7A" w:rsidRPr="000B0027">
        <w:t>p</w:t>
      </w:r>
      <w:r w:rsidRPr="000B0027">
        <w:t xml:space="preserve">rojektu w zablokowanej </w:t>
      </w:r>
      <w:r w:rsidR="00800E7A" w:rsidRPr="000B0027">
        <w:t>u</w:t>
      </w:r>
      <w:r w:rsidRPr="000B0027">
        <w:t xml:space="preserve">słudze ponosi </w:t>
      </w:r>
      <w:r w:rsidR="00800E7A" w:rsidRPr="000B0027">
        <w:t>u</w:t>
      </w:r>
      <w:r w:rsidRPr="000B0027">
        <w:t xml:space="preserve">sługodawca. </w:t>
      </w:r>
    </w:p>
    <w:p w14:paraId="04BC71A7" w14:textId="72FD6DEF"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Usługodawca zobowiązany jest do odmowy przyjęcia </w:t>
      </w:r>
      <w:r w:rsidR="00800E7A" w:rsidRPr="000B0027">
        <w:t>u</w:t>
      </w:r>
      <w:r w:rsidRPr="000B0027">
        <w:t xml:space="preserve">czestnika </w:t>
      </w:r>
      <w:r w:rsidR="00800E7A" w:rsidRPr="000B0027">
        <w:t>p</w:t>
      </w:r>
      <w:r w:rsidR="00CF0131" w:rsidRPr="000B0027">
        <w:t>rojektu z bonem rozwojowym w </w:t>
      </w:r>
      <w:r w:rsidRPr="000B0027">
        <w:t>przypadku gdy:</w:t>
      </w:r>
    </w:p>
    <w:p w14:paraId="4C60D7A1" w14:textId="2BF3C8EC" w:rsidR="00B54D5F" w:rsidRPr="000B0027" w:rsidRDefault="008A2F87" w:rsidP="00B54D5F">
      <w:pPr>
        <w:pStyle w:val="Akapitzlist"/>
        <w:widowControl/>
        <w:numPr>
          <w:ilvl w:val="0"/>
          <w:numId w:val="9"/>
        </w:numPr>
        <w:autoSpaceDE/>
        <w:autoSpaceDN/>
        <w:spacing w:line="276" w:lineRule="auto"/>
        <w:ind w:left="709" w:hanging="283"/>
        <w:contextualSpacing/>
        <w:jc w:val="both"/>
      </w:pPr>
      <w:r w:rsidRPr="000B0027">
        <w:t>p</w:t>
      </w:r>
      <w:r w:rsidR="00B54D5F" w:rsidRPr="000B0027">
        <w:t xml:space="preserve">rzedsiębiorca powiązany jest z </w:t>
      </w:r>
      <w:r w:rsidR="00800E7A" w:rsidRPr="000B0027">
        <w:t>u</w:t>
      </w:r>
      <w:r w:rsidR="00B54D5F" w:rsidRPr="000B0027">
        <w:t xml:space="preserve">sługodawcą osobowo lub kapitałowo. Przez powiązania kapitałowe lub osobowe rozumie się wzajemne powiązania między </w:t>
      </w:r>
      <w:r w:rsidR="00800E7A" w:rsidRPr="000B0027">
        <w:t>p</w:t>
      </w:r>
      <w:r w:rsidR="00B54D5F" w:rsidRPr="000B0027">
        <w:t xml:space="preserve">rzedsiębiorcą, </w:t>
      </w:r>
      <w:r w:rsidRPr="000B0027">
        <w:br/>
      </w:r>
      <w:r w:rsidR="00B54D5F" w:rsidRPr="000B0027">
        <w:t xml:space="preserve">a </w:t>
      </w:r>
      <w:r w:rsidR="00800E7A" w:rsidRPr="000B0027">
        <w:t>u</w:t>
      </w:r>
      <w:r w:rsidR="00B54D5F" w:rsidRPr="000B0027">
        <w:t xml:space="preserve">sługodawcą, polegające w szczególności na: </w:t>
      </w:r>
    </w:p>
    <w:p w14:paraId="3A3D0BAA" w14:textId="426FC6D9" w:rsidR="00B54D5F" w:rsidRPr="000B0027" w:rsidRDefault="00B54D5F" w:rsidP="008D7BA3">
      <w:pPr>
        <w:pStyle w:val="Akapitzlist"/>
        <w:widowControl/>
        <w:numPr>
          <w:ilvl w:val="0"/>
          <w:numId w:val="10"/>
        </w:numPr>
        <w:tabs>
          <w:tab w:val="left" w:pos="851"/>
        </w:tabs>
        <w:autoSpaceDE/>
        <w:autoSpaceDN/>
        <w:spacing w:line="276" w:lineRule="auto"/>
        <w:ind w:left="709" w:hanging="283"/>
        <w:contextualSpacing/>
        <w:jc w:val="both"/>
      </w:pPr>
      <w:r w:rsidRPr="000B0027">
        <w:t>uczestniczeniu w spółce jako wspólnik spółki cywilnej lub spółki osobowej</w:t>
      </w:r>
      <w:r w:rsidR="00304677" w:rsidRPr="000B0027">
        <w:t>,</w:t>
      </w:r>
    </w:p>
    <w:p w14:paraId="20A47243" w14:textId="552C46C0" w:rsidR="008A2F87" w:rsidRPr="000B0027" w:rsidRDefault="00B54D5F" w:rsidP="008D7BA3">
      <w:pPr>
        <w:pStyle w:val="Akapitzlist"/>
        <w:widowControl/>
        <w:numPr>
          <w:ilvl w:val="0"/>
          <w:numId w:val="10"/>
        </w:numPr>
        <w:tabs>
          <w:tab w:val="left" w:pos="851"/>
        </w:tabs>
        <w:autoSpaceDE/>
        <w:autoSpaceDN/>
        <w:spacing w:line="276" w:lineRule="auto"/>
        <w:ind w:left="426" w:firstLine="0"/>
        <w:contextualSpacing/>
        <w:jc w:val="both"/>
      </w:pPr>
      <w:r w:rsidRPr="000B0027">
        <w:t>posiadaniu co najmniej 20 % udziałów lub akcji</w:t>
      </w:r>
      <w:r w:rsidR="00304677" w:rsidRPr="000B0027">
        <w:t>,</w:t>
      </w:r>
    </w:p>
    <w:p w14:paraId="6752E301" w14:textId="1EA31E60" w:rsidR="008A2F87" w:rsidRPr="000B0027" w:rsidRDefault="00B54D5F" w:rsidP="008D7BA3">
      <w:pPr>
        <w:pStyle w:val="Akapitzlist"/>
        <w:widowControl/>
        <w:numPr>
          <w:ilvl w:val="0"/>
          <w:numId w:val="10"/>
        </w:numPr>
        <w:tabs>
          <w:tab w:val="left" w:pos="851"/>
        </w:tabs>
        <w:autoSpaceDE/>
        <w:autoSpaceDN/>
        <w:spacing w:line="276" w:lineRule="auto"/>
        <w:ind w:left="426" w:firstLine="0"/>
        <w:contextualSpacing/>
        <w:jc w:val="both"/>
      </w:pPr>
      <w:r w:rsidRPr="000B0027">
        <w:t>pełnieniu funkcji członka organu nadzorczego lub zarządzającego, prokurenta, pełnomocnika</w:t>
      </w:r>
      <w:r w:rsidR="00304677" w:rsidRPr="000B0027">
        <w:t>,</w:t>
      </w:r>
    </w:p>
    <w:p w14:paraId="0CCFDC16" w14:textId="166B054A" w:rsidR="00B54D5F" w:rsidRPr="000B0027" w:rsidRDefault="00B54D5F" w:rsidP="008A2F87">
      <w:pPr>
        <w:pStyle w:val="Akapitzlist"/>
        <w:widowControl/>
        <w:numPr>
          <w:ilvl w:val="0"/>
          <w:numId w:val="10"/>
        </w:numPr>
        <w:tabs>
          <w:tab w:val="left" w:pos="851"/>
        </w:tabs>
        <w:autoSpaceDE/>
        <w:autoSpaceDN/>
        <w:spacing w:line="276" w:lineRule="auto"/>
        <w:ind w:left="426" w:firstLine="0"/>
        <w:contextualSpacing/>
        <w:jc w:val="both"/>
      </w:pPr>
      <w:r w:rsidRPr="000B0027">
        <w:t xml:space="preserve">pozostawaniu w stosunku prawnym lub faktycznym, który może budzić uzasadnione wątpliwości co do bezstronności w wyborze podmiotu świadczącego usługę, w szczególności pozostawanie </w:t>
      </w:r>
      <w:r w:rsidRPr="000B0027">
        <w:lastRenderedPageBreak/>
        <w:t>w</w:t>
      </w:r>
      <w:r w:rsidR="00425B2D">
        <w:t> </w:t>
      </w:r>
      <w:r w:rsidRPr="000B0027">
        <w:t>związku małżeńskim, w stosunku pokrewieństwa lub powinowactwa w linii prostej, pokrewieństwa lub powinowactwa w linii bocznej lub w stosunku przysposobienia, opieki lub kurateli</w:t>
      </w:r>
      <w:r w:rsidR="00304677" w:rsidRPr="000B0027">
        <w:t>.</w:t>
      </w:r>
    </w:p>
    <w:p w14:paraId="1D3AFDAE" w14:textId="77777777" w:rsidR="00B54D5F" w:rsidRPr="000B0027" w:rsidRDefault="00B54D5F" w:rsidP="00B54D5F">
      <w:pPr>
        <w:pStyle w:val="Akapitzlist"/>
        <w:widowControl/>
        <w:numPr>
          <w:ilvl w:val="0"/>
          <w:numId w:val="7"/>
        </w:numPr>
        <w:autoSpaceDE/>
        <w:autoSpaceDN/>
        <w:spacing w:line="276" w:lineRule="auto"/>
        <w:contextualSpacing/>
        <w:jc w:val="both"/>
      </w:pPr>
      <w:r w:rsidRPr="000B0027">
        <w:rPr>
          <w:color w:val="000000"/>
          <w:lang w:eastAsia="ar-SA"/>
        </w:rPr>
        <w:t>Jednostką odpowiadającą wartości 1 bonu rozwojowego jest:</w:t>
      </w:r>
    </w:p>
    <w:p w14:paraId="7B22ACD6" w14:textId="77777777" w:rsidR="00B54D5F" w:rsidRPr="000B0027" w:rsidRDefault="00B54D5F" w:rsidP="00B54D5F">
      <w:pPr>
        <w:pStyle w:val="Default"/>
        <w:numPr>
          <w:ilvl w:val="0"/>
          <w:numId w:val="11"/>
        </w:numPr>
        <w:jc w:val="both"/>
        <w:rPr>
          <w:iCs/>
          <w:sz w:val="22"/>
          <w:szCs w:val="22"/>
        </w:rPr>
      </w:pPr>
      <w:r w:rsidRPr="000B0027">
        <w:rPr>
          <w:iCs/>
          <w:sz w:val="22"/>
          <w:szCs w:val="22"/>
        </w:rPr>
        <w:t xml:space="preserve">w przypadku usług szkoleniowych – 1 godzina usługi = 1 bon rozwojowy, z zastrzeżeniem zapisów, o których mowa w ust 9; </w:t>
      </w:r>
    </w:p>
    <w:p w14:paraId="7C4D8985" w14:textId="77777777" w:rsidR="00B54D5F" w:rsidRPr="000B0027" w:rsidRDefault="00B54D5F" w:rsidP="00B54D5F">
      <w:pPr>
        <w:pStyle w:val="Default"/>
        <w:numPr>
          <w:ilvl w:val="0"/>
          <w:numId w:val="11"/>
        </w:numPr>
        <w:jc w:val="both"/>
        <w:rPr>
          <w:iCs/>
          <w:sz w:val="22"/>
          <w:szCs w:val="22"/>
        </w:rPr>
      </w:pPr>
      <w:r w:rsidRPr="000B0027">
        <w:rPr>
          <w:iCs/>
          <w:sz w:val="22"/>
          <w:szCs w:val="22"/>
        </w:rPr>
        <w:t xml:space="preserve">w przypadku usług doradczych – 1 godzina usługi = 2 bony rozwojowe. </w:t>
      </w:r>
    </w:p>
    <w:p w14:paraId="45A1B637" w14:textId="2632256A" w:rsidR="00B54D5F" w:rsidRPr="000B0027" w:rsidRDefault="00B54D5F" w:rsidP="00B54D5F">
      <w:pPr>
        <w:widowControl/>
        <w:numPr>
          <w:ilvl w:val="0"/>
          <w:numId w:val="12"/>
        </w:numPr>
        <w:suppressAutoHyphens/>
        <w:autoSpaceDE/>
        <w:spacing w:line="276" w:lineRule="auto"/>
        <w:jc w:val="both"/>
      </w:pPr>
      <w:r w:rsidRPr="000B0027">
        <w:rPr>
          <w:iCs/>
        </w:rPr>
        <w:t xml:space="preserve">w przypadku usług jednorazowych tj. egzamin – ilość jednostek dla poszczególnej </w:t>
      </w:r>
      <w:r w:rsidRPr="000B0027">
        <w:t xml:space="preserve">usługi ustalana jest wg algorytmu: całkowita cena usługi </w:t>
      </w:r>
      <w:r w:rsidR="00800E7A" w:rsidRPr="000B0027">
        <w:t>dzielona przez</w:t>
      </w:r>
      <w:r w:rsidRPr="000B0027">
        <w:t xml:space="preserve"> 60 </w:t>
      </w:r>
      <w:r w:rsidR="00800E7A" w:rsidRPr="000B0027">
        <w:t>zł</w:t>
      </w:r>
      <w:r w:rsidRPr="000B0027">
        <w:t xml:space="preserve"> </w:t>
      </w:r>
    </w:p>
    <w:p w14:paraId="67D84268" w14:textId="77777777" w:rsidR="00B54D5F" w:rsidRPr="000B0027" w:rsidRDefault="00B54D5F" w:rsidP="00B54D5F">
      <w:pPr>
        <w:pStyle w:val="Akapitzlist"/>
        <w:widowControl/>
        <w:numPr>
          <w:ilvl w:val="0"/>
          <w:numId w:val="7"/>
        </w:numPr>
        <w:autoSpaceDE/>
        <w:autoSpaceDN/>
        <w:spacing w:line="276" w:lineRule="auto"/>
        <w:contextualSpacing/>
        <w:jc w:val="both"/>
        <w:rPr>
          <w:rFonts w:eastAsia="Times New Roman"/>
        </w:rPr>
      </w:pPr>
      <w:r w:rsidRPr="000B0027">
        <w:t>Dla wszystkich kategorii usług rozwojowych zakłada się stosowanie jednego rodzaju bonu rozwojowego o wartości maksymalnie 60 zł (wartość obejmuje kwotę dofinasowania oraz wkładu własnego).</w:t>
      </w:r>
    </w:p>
    <w:p w14:paraId="6E78753B" w14:textId="77777777" w:rsidR="00B54D5F" w:rsidRPr="000B0027" w:rsidRDefault="00B54D5F" w:rsidP="00B54D5F">
      <w:pPr>
        <w:pStyle w:val="Akapitzlist"/>
        <w:widowControl/>
        <w:numPr>
          <w:ilvl w:val="0"/>
          <w:numId w:val="7"/>
        </w:numPr>
        <w:autoSpaceDE/>
        <w:autoSpaceDN/>
        <w:spacing w:line="276" w:lineRule="auto"/>
        <w:contextualSpacing/>
        <w:jc w:val="both"/>
      </w:pPr>
      <w:r w:rsidRPr="000B0027">
        <w:t>W sytuacji kiedy cena za godzinę szkolenia mieści się w przedziale:</w:t>
      </w:r>
    </w:p>
    <w:p w14:paraId="1E365664" w14:textId="77777777" w:rsidR="00B54D5F" w:rsidRPr="000B0027" w:rsidRDefault="00B54D5F" w:rsidP="00B54D5F">
      <w:pPr>
        <w:pStyle w:val="Default"/>
        <w:numPr>
          <w:ilvl w:val="0"/>
          <w:numId w:val="24"/>
        </w:numPr>
        <w:jc w:val="both"/>
        <w:rPr>
          <w:sz w:val="22"/>
          <w:szCs w:val="22"/>
        </w:rPr>
      </w:pPr>
      <w:r w:rsidRPr="000B0027">
        <w:rPr>
          <w:sz w:val="22"/>
          <w:szCs w:val="22"/>
        </w:rPr>
        <w:t xml:space="preserve">do 15,00 zł netto - 1 bonem rozwojowym można rozliczyć maksymalnie 4 godziny szkolenia. </w:t>
      </w:r>
    </w:p>
    <w:p w14:paraId="259CFAD8" w14:textId="72F6C354" w:rsidR="00B54D5F" w:rsidRPr="000B0027" w:rsidRDefault="00B54D5F" w:rsidP="00B54D5F">
      <w:pPr>
        <w:pStyle w:val="Default"/>
        <w:numPr>
          <w:ilvl w:val="0"/>
          <w:numId w:val="24"/>
        </w:numPr>
        <w:jc w:val="both"/>
        <w:rPr>
          <w:sz w:val="22"/>
          <w:szCs w:val="22"/>
        </w:rPr>
      </w:pPr>
      <w:r w:rsidRPr="000B0027">
        <w:rPr>
          <w:sz w:val="22"/>
          <w:szCs w:val="22"/>
        </w:rPr>
        <w:t xml:space="preserve">od 15,01 zł netto do 30,00 zł netto - 1 bonem rozwojowym można rozliczyć maksymalnie </w:t>
      </w:r>
      <w:r w:rsidR="00304677" w:rsidRPr="000B0027">
        <w:rPr>
          <w:sz w:val="22"/>
          <w:szCs w:val="22"/>
        </w:rPr>
        <w:br/>
      </w:r>
      <w:r w:rsidRPr="000B0027">
        <w:rPr>
          <w:sz w:val="22"/>
          <w:szCs w:val="22"/>
        </w:rPr>
        <w:t>2 godzin</w:t>
      </w:r>
      <w:r w:rsidR="00800E7A" w:rsidRPr="000B0027">
        <w:rPr>
          <w:sz w:val="22"/>
          <w:szCs w:val="22"/>
        </w:rPr>
        <w:t>y</w:t>
      </w:r>
      <w:r w:rsidRPr="000B0027">
        <w:rPr>
          <w:sz w:val="22"/>
          <w:szCs w:val="22"/>
        </w:rPr>
        <w:t xml:space="preserve"> szkolenia.</w:t>
      </w:r>
    </w:p>
    <w:p w14:paraId="124FF302" w14:textId="77777777" w:rsidR="00B54D5F" w:rsidRPr="000B0027" w:rsidRDefault="00B54D5F" w:rsidP="00B54D5F">
      <w:pPr>
        <w:pStyle w:val="Default"/>
        <w:numPr>
          <w:ilvl w:val="0"/>
          <w:numId w:val="24"/>
        </w:numPr>
        <w:jc w:val="both"/>
        <w:rPr>
          <w:sz w:val="22"/>
          <w:szCs w:val="22"/>
        </w:rPr>
      </w:pPr>
      <w:r w:rsidRPr="000B0027">
        <w:rPr>
          <w:sz w:val="22"/>
          <w:szCs w:val="22"/>
        </w:rPr>
        <w:t xml:space="preserve">od 30,01 zł netto – powyżej - 1 bonem rozwojowym można rozliczyć maksymalnie 1 godzinę szkolenia, z zastrzeżeniem zapisów, o których mowa w ust 10 pkt 1. </w:t>
      </w:r>
    </w:p>
    <w:p w14:paraId="202A5298" w14:textId="62A885CC" w:rsidR="00B54D5F" w:rsidRPr="000B0027" w:rsidRDefault="00B54D5F" w:rsidP="008D7BA3">
      <w:pPr>
        <w:pStyle w:val="Akapitzlist"/>
        <w:widowControl/>
        <w:numPr>
          <w:ilvl w:val="0"/>
          <w:numId w:val="7"/>
        </w:numPr>
        <w:autoSpaceDE/>
        <w:autoSpaceDN/>
        <w:spacing w:line="276" w:lineRule="auto"/>
        <w:ind w:hanging="502"/>
        <w:contextualSpacing/>
        <w:jc w:val="both"/>
      </w:pPr>
      <w:r w:rsidRPr="000B0027">
        <w:t>Bony rozwojowe rozliczane są po kosztach rzeczywistych do wysokości wartości bonu tj. do kwoty 60 zł</w:t>
      </w:r>
      <w:r w:rsidR="000777F6">
        <w:t>. W</w:t>
      </w:r>
      <w:r w:rsidRPr="000B0027">
        <w:t xml:space="preserve"> przypadku, gdy: </w:t>
      </w:r>
    </w:p>
    <w:p w14:paraId="12AF53E8" w14:textId="7621C57D" w:rsidR="00B54D5F" w:rsidRPr="000B0027" w:rsidRDefault="00B54D5F" w:rsidP="00B54D5F">
      <w:pPr>
        <w:pStyle w:val="Akapitzlist"/>
        <w:widowControl/>
        <w:numPr>
          <w:ilvl w:val="1"/>
          <w:numId w:val="13"/>
        </w:numPr>
        <w:autoSpaceDE/>
        <w:autoSpaceDN/>
        <w:spacing w:line="276" w:lineRule="auto"/>
        <w:ind w:left="993" w:hanging="425"/>
        <w:contextualSpacing/>
        <w:jc w:val="both"/>
      </w:pPr>
      <w:bookmarkStart w:id="3" w:name="_Hlk518902695"/>
      <w:r w:rsidRPr="000B0027">
        <w:t xml:space="preserve">koszt jednej godziny wybranej </w:t>
      </w:r>
      <w:r w:rsidR="000777F6">
        <w:t>u</w:t>
      </w:r>
      <w:r w:rsidRPr="000B0027">
        <w:t xml:space="preserve">sługi rozwojowej jest wyższy niż wartość bonu tj. 60 zł – </w:t>
      </w:r>
      <w:r w:rsidR="00800E7A" w:rsidRPr="000B0027">
        <w:t>p</w:t>
      </w:r>
      <w:r w:rsidRPr="000B0027">
        <w:t xml:space="preserve">rzedsiębiorca wpłaca do </w:t>
      </w:r>
      <w:r w:rsidR="00B21C9F" w:rsidRPr="000B0027">
        <w:t>u</w:t>
      </w:r>
      <w:r w:rsidRPr="000B0027">
        <w:t>sługodawcy kwotę stanowiącą ró</w:t>
      </w:r>
      <w:r w:rsidR="00CF0131" w:rsidRPr="000B0027">
        <w:t>żnicę pomiędzy wartością bonu a </w:t>
      </w:r>
      <w:r w:rsidRPr="000B0027">
        <w:t xml:space="preserve">kosztem 1 godziny </w:t>
      </w:r>
      <w:r w:rsidR="00B21C9F" w:rsidRPr="000B0027">
        <w:t>u</w:t>
      </w:r>
      <w:r w:rsidRPr="000B0027">
        <w:t>sługi, przemnożoną przez liczbę bonów;</w:t>
      </w:r>
      <w:bookmarkEnd w:id="3"/>
    </w:p>
    <w:p w14:paraId="6B32B815" w14:textId="08A23936" w:rsidR="00B54D5F" w:rsidRPr="000B0027" w:rsidRDefault="00B54D5F" w:rsidP="00B54D5F">
      <w:pPr>
        <w:pStyle w:val="Akapitzlist"/>
        <w:widowControl/>
        <w:numPr>
          <w:ilvl w:val="1"/>
          <w:numId w:val="13"/>
        </w:numPr>
        <w:autoSpaceDE/>
        <w:autoSpaceDN/>
        <w:spacing w:line="276" w:lineRule="auto"/>
        <w:ind w:left="993" w:hanging="425"/>
        <w:contextualSpacing/>
        <w:jc w:val="both"/>
      </w:pPr>
      <w:r w:rsidRPr="000B0027">
        <w:t xml:space="preserve">koszt jednej godziny wybranej </w:t>
      </w:r>
      <w:r w:rsidR="00B21C9F" w:rsidRPr="000B0027">
        <w:t>u</w:t>
      </w:r>
      <w:r w:rsidRPr="000B0027">
        <w:t>sługi rozwojowej jest niższy niż wartość bonu – wartość bonu jest rozliczana do rzeczywistego kosztu godziny usługi rozwojow</w:t>
      </w:r>
      <w:r w:rsidR="00CF0131" w:rsidRPr="000B0027">
        <w:t>ej, z zastrzeżeniem zapisów, o </w:t>
      </w:r>
      <w:r w:rsidRPr="000B0027">
        <w:t xml:space="preserve">których mowa w ust. 7 i 9; </w:t>
      </w:r>
    </w:p>
    <w:p w14:paraId="13CCDE70" w14:textId="52797634" w:rsidR="00B54D5F" w:rsidRPr="000B0027" w:rsidRDefault="000777F6" w:rsidP="00B54D5F">
      <w:pPr>
        <w:pStyle w:val="Akapitzlist"/>
        <w:widowControl/>
        <w:numPr>
          <w:ilvl w:val="1"/>
          <w:numId w:val="13"/>
        </w:numPr>
        <w:autoSpaceDE/>
        <w:autoSpaceDN/>
        <w:spacing w:line="276" w:lineRule="auto"/>
        <w:ind w:left="993" w:hanging="425"/>
        <w:contextualSpacing/>
        <w:jc w:val="both"/>
      </w:pPr>
      <w:r>
        <w:t>p</w:t>
      </w:r>
      <w:r w:rsidR="00B54D5F" w:rsidRPr="000B0027">
        <w:t xml:space="preserve">rzedsiębiorca wpłaca do </w:t>
      </w:r>
      <w:r w:rsidR="00B21C9F" w:rsidRPr="000B0027">
        <w:t>u</w:t>
      </w:r>
      <w:r w:rsidR="00B54D5F" w:rsidRPr="000B0027">
        <w:t>sługodawcy (realizatora usługi) kwotę stanowiącą równowartość podatku VAT naliczonego od zrealizowanej usługi rozwojowej</w:t>
      </w:r>
      <w:r w:rsidR="00304677" w:rsidRPr="000B0027">
        <w:t>;</w:t>
      </w:r>
    </w:p>
    <w:p w14:paraId="357E3C3D" w14:textId="4419EEC8" w:rsidR="00B54D5F" w:rsidRPr="000B0027" w:rsidRDefault="00B54D5F" w:rsidP="00B54D5F">
      <w:pPr>
        <w:pStyle w:val="Akapitzlist"/>
        <w:widowControl/>
        <w:numPr>
          <w:ilvl w:val="1"/>
          <w:numId w:val="13"/>
        </w:numPr>
        <w:autoSpaceDE/>
        <w:autoSpaceDN/>
        <w:spacing w:line="276" w:lineRule="auto"/>
        <w:ind w:left="993" w:hanging="425"/>
        <w:contextualSpacing/>
        <w:jc w:val="both"/>
        <w:rPr>
          <w:color w:val="000000"/>
        </w:rPr>
      </w:pPr>
      <w:r w:rsidRPr="000B0027">
        <w:rPr>
          <w:color w:val="000000"/>
        </w:rPr>
        <w:t xml:space="preserve">liczba godzin usługi rozwojowej przekracza liczbę bonów, którą może wykorzystać </w:t>
      </w:r>
      <w:r w:rsidR="00B21C9F" w:rsidRPr="000B0027">
        <w:rPr>
          <w:color w:val="000000"/>
        </w:rPr>
        <w:t>p</w:t>
      </w:r>
      <w:r w:rsidRPr="000B0027">
        <w:rPr>
          <w:color w:val="000000"/>
        </w:rPr>
        <w:t xml:space="preserve">rzedsiębiorca w celu dofinansowania usługi realizowanej w projekcie - </w:t>
      </w:r>
      <w:r w:rsidR="00B21C9F" w:rsidRPr="000B0027">
        <w:rPr>
          <w:color w:val="000000"/>
        </w:rPr>
        <w:t>p</w:t>
      </w:r>
      <w:r w:rsidRPr="000B0027">
        <w:rPr>
          <w:color w:val="000000"/>
        </w:rPr>
        <w:t xml:space="preserve">rzedsiębiorca wpłaca do </w:t>
      </w:r>
      <w:r w:rsidR="00B21C9F" w:rsidRPr="000B0027">
        <w:rPr>
          <w:color w:val="000000"/>
        </w:rPr>
        <w:t>u</w:t>
      </w:r>
      <w:r w:rsidRPr="000B0027">
        <w:rPr>
          <w:color w:val="000000"/>
        </w:rPr>
        <w:t xml:space="preserve">sługodawcy kwotę stanowiącą równowartość kosztów za godziny usług rozwojowych, które nie mogą być dofinansowane w ramach dostępnej liczby bonów. </w:t>
      </w:r>
    </w:p>
    <w:p w14:paraId="46D9C9ED" w14:textId="77777777" w:rsidR="00B54D5F" w:rsidRPr="000B0027" w:rsidRDefault="00B54D5F" w:rsidP="00B54D5F">
      <w:pPr>
        <w:pStyle w:val="Akapitzlist"/>
        <w:widowControl/>
        <w:numPr>
          <w:ilvl w:val="0"/>
          <w:numId w:val="7"/>
        </w:numPr>
        <w:autoSpaceDE/>
        <w:autoSpaceDN/>
        <w:spacing w:line="276" w:lineRule="auto"/>
        <w:contextualSpacing/>
        <w:jc w:val="both"/>
      </w:pPr>
      <w:r w:rsidRPr="000B0027">
        <w:t>Bonami rozwojowymi nie mogą być sfinansowane koszty:</w:t>
      </w:r>
    </w:p>
    <w:p w14:paraId="2C2453CD" w14:textId="4CA16756" w:rsidR="00B54D5F" w:rsidRPr="000B0027" w:rsidRDefault="00B54D5F" w:rsidP="00B54D5F">
      <w:pPr>
        <w:widowControl/>
        <w:numPr>
          <w:ilvl w:val="0"/>
          <w:numId w:val="14"/>
        </w:numPr>
        <w:autoSpaceDE/>
        <w:autoSpaceDN/>
        <w:spacing w:before="120" w:after="120" w:line="276" w:lineRule="auto"/>
        <w:ind w:left="993"/>
        <w:contextualSpacing/>
        <w:jc w:val="both"/>
      </w:pPr>
      <w:r w:rsidRPr="000B0027">
        <w:t xml:space="preserve">godzin </w:t>
      </w:r>
      <w:r w:rsidR="00B21C9F" w:rsidRPr="000B0027">
        <w:t>u</w:t>
      </w:r>
      <w:r w:rsidRPr="000B0027">
        <w:t xml:space="preserve">sługi rozwojowej, podczas których </w:t>
      </w:r>
      <w:r w:rsidR="00B21C9F" w:rsidRPr="000B0027">
        <w:t>u</w:t>
      </w:r>
      <w:r w:rsidRPr="000B0027">
        <w:t xml:space="preserve">czestnik </w:t>
      </w:r>
      <w:r w:rsidR="00B21C9F" w:rsidRPr="000B0027">
        <w:t>p</w:t>
      </w:r>
      <w:r w:rsidRPr="000B0027">
        <w:t>rojek</w:t>
      </w:r>
      <w:r w:rsidR="00CF0131" w:rsidRPr="000B0027">
        <w:t>tu był nieobecny na zajęciach z </w:t>
      </w:r>
      <w:r w:rsidRPr="000B0027">
        <w:t>przyczyn nieusprawiedliwionych;</w:t>
      </w:r>
    </w:p>
    <w:p w14:paraId="08AFBCFD" w14:textId="78653E26" w:rsidR="00B54D5F" w:rsidRPr="000B0027" w:rsidRDefault="000777F6" w:rsidP="00B54D5F">
      <w:pPr>
        <w:widowControl/>
        <w:numPr>
          <w:ilvl w:val="0"/>
          <w:numId w:val="14"/>
        </w:numPr>
        <w:autoSpaceDE/>
        <w:autoSpaceDN/>
        <w:spacing w:before="120" w:after="120" w:line="276" w:lineRule="auto"/>
        <w:ind w:left="993"/>
        <w:contextualSpacing/>
        <w:jc w:val="both"/>
      </w:pPr>
      <w:r>
        <w:t>u</w:t>
      </w:r>
      <w:r w:rsidR="00B54D5F" w:rsidRPr="000B0027">
        <w:t xml:space="preserve">sługi rozwojowej, w wyniku której </w:t>
      </w:r>
      <w:r w:rsidR="00B21C9F" w:rsidRPr="000B0027">
        <w:t>u</w:t>
      </w:r>
      <w:r w:rsidR="00B54D5F" w:rsidRPr="000B0027">
        <w:t xml:space="preserve">czestnik </w:t>
      </w:r>
      <w:r>
        <w:t>p</w:t>
      </w:r>
      <w:r w:rsidR="00B54D5F" w:rsidRPr="000B0027">
        <w:t>rojektu nie osiągnął zakładanych efektów uczenia;</w:t>
      </w:r>
    </w:p>
    <w:p w14:paraId="58F1DD65" w14:textId="5F0E214D" w:rsidR="00B54D5F" w:rsidRPr="000B0027" w:rsidRDefault="000777F6" w:rsidP="00B54D5F">
      <w:pPr>
        <w:widowControl/>
        <w:numPr>
          <w:ilvl w:val="0"/>
          <w:numId w:val="14"/>
        </w:numPr>
        <w:autoSpaceDE/>
        <w:autoSpaceDN/>
        <w:spacing w:before="120" w:after="120" w:line="276" w:lineRule="auto"/>
        <w:ind w:left="993"/>
        <w:contextualSpacing/>
        <w:jc w:val="both"/>
      </w:pPr>
      <w:r>
        <w:t>u</w:t>
      </w:r>
      <w:r w:rsidR="00B54D5F" w:rsidRPr="000B0027">
        <w:t>sługi rozwojowej, która nie zakończyła się wytworzeniem zakładanego do opracowania produktu w wyniku realizacji usługi doradczej, mającej cel biznesowy</w:t>
      </w:r>
      <w:r w:rsidR="00304677" w:rsidRPr="000B0027">
        <w:t>;</w:t>
      </w:r>
    </w:p>
    <w:p w14:paraId="51C76154" w14:textId="3C207D96" w:rsidR="00B54D5F" w:rsidRPr="000B0027" w:rsidRDefault="000777F6" w:rsidP="00B54D5F">
      <w:pPr>
        <w:widowControl/>
        <w:numPr>
          <w:ilvl w:val="0"/>
          <w:numId w:val="14"/>
        </w:numPr>
        <w:autoSpaceDE/>
        <w:autoSpaceDN/>
        <w:spacing w:before="120" w:after="120" w:line="276" w:lineRule="auto"/>
        <w:ind w:left="993"/>
        <w:contextualSpacing/>
        <w:jc w:val="both"/>
      </w:pPr>
      <w:r>
        <w:t>u</w:t>
      </w:r>
      <w:r w:rsidR="00B54D5F" w:rsidRPr="000B0027">
        <w:t xml:space="preserve">sługi walidacji i certyfikacji kompetencji, jeżeli </w:t>
      </w:r>
      <w:r w:rsidR="00B21C9F" w:rsidRPr="000B0027">
        <w:t>u</w:t>
      </w:r>
      <w:r w:rsidR="00B54D5F" w:rsidRPr="000B0027">
        <w:t>czestnik do niej nie przystąpił z przyczyn nieusprawiedliwionych;</w:t>
      </w:r>
    </w:p>
    <w:p w14:paraId="68EDB419" w14:textId="457EAB93" w:rsidR="00B54D5F" w:rsidRPr="000B0027" w:rsidRDefault="000777F6" w:rsidP="00B54D5F">
      <w:pPr>
        <w:widowControl/>
        <w:numPr>
          <w:ilvl w:val="0"/>
          <w:numId w:val="14"/>
        </w:numPr>
        <w:autoSpaceDE/>
        <w:autoSpaceDN/>
        <w:spacing w:before="120" w:after="120" w:line="276" w:lineRule="auto"/>
        <w:ind w:left="993"/>
        <w:contextualSpacing/>
        <w:jc w:val="both"/>
      </w:pPr>
      <w:r>
        <w:t>u</w:t>
      </w:r>
      <w:r w:rsidR="00B54D5F" w:rsidRPr="000B0027">
        <w:t xml:space="preserve">sługi rozwojowej, po której </w:t>
      </w:r>
      <w:r w:rsidR="00B21C9F" w:rsidRPr="000B0027">
        <w:t>u</w:t>
      </w:r>
      <w:r w:rsidR="00B54D5F" w:rsidRPr="000B0027">
        <w:t xml:space="preserve">czestnik </w:t>
      </w:r>
      <w:r w:rsidR="00B21C9F" w:rsidRPr="000B0027">
        <w:t>p</w:t>
      </w:r>
      <w:r w:rsidR="00B54D5F" w:rsidRPr="000B0027">
        <w:t xml:space="preserve">rojektu nie przystąpił do </w:t>
      </w:r>
      <w:r w:rsidR="00B21C9F" w:rsidRPr="000B0027">
        <w:t>u</w:t>
      </w:r>
      <w:r w:rsidR="00B54D5F" w:rsidRPr="000B0027">
        <w:t xml:space="preserve">sługi walidacji i certyfikacji kompetencji z przyczyn nieusprawiedliwionych, w przypadku gdy dla danej </w:t>
      </w:r>
      <w:r w:rsidR="00B21C9F" w:rsidRPr="000B0027">
        <w:t>u</w:t>
      </w:r>
      <w:r w:rsidR="00B54D5F" w:rsidRPr="000B0027">
        <w:t xml:space="preserve">sługi rozwojowej wymagana jest </w:t>
      </w:r>
      <w:r w:rsidR="00B21C9F" w:rsidRPr="000B0027">
        <w:t>u</w:t>
      </w:r>
      <w:r w:rsidR="00B54D5F" w:rsidRPr="000B0027">
        <w:t>sługa walidacji i certyfikacji kompetencji</w:t>
      </w:r>
      <w:r w:rsidR="00304677" w:rsidRPr="000B0027">
        <w:t>.</w:t>
      </w:r>
    </w:p>
    <w:p w14:paraId="6D71E549" w14:textId="34A612E0" w:rsidR="00304677" w:rsidRPr="000B0027" w:rsidRDefault="00B54D5F" w:rsidP="00304677">
      <w:pPr>
        <w:pStyle w:val="Akapitzlist"/>
        <w:widowControl/>
        <w:numPr>
          <w:ilvl w:val="0"/>
          <w:numId w:val="7"/>
        </w:numPr>
        <w:autoSpaceDE/>
        <w:autoSpaceDN/>
        <w:spacing w:line="276" w:lineRule="auto"/>
        <w:contextualSpacing/>
        <w:jc w:val="both"/>
      </w:pPr>
      <w:r w:rsidRPr="000B0027">
        <w:t>W przypadkach, o których mowa w ust</w:t>
      </w:r>
      <w:r w:rsidR="000777F6">
        <w:t>.</w:t>
      </w:r>
      <w:r w:rsidRPr="000B0027">
        <w:t xml:space="preserve"> 11 usługi nie podlegają rozliczeniu w ramach projektu. Kwestia płatności za usługi </w:t>
      </w:r>
      <w:r w:rsidR="000777F6">
        <w:t>-musi</w:t>
      </w:r>
      <w:r w:rsidR="000777F6" w:rsidRPr="000B0027">
        <w:t xml:space="preserve"> </w:t>
      </w:r>
      <w:r w:rsidRPr="000B0027">
        <w:t xml:space="preserve">wówczas być ustalana odrębnie pomiędzy </w:t>
      </w:r>
      <w:r w:rsidR="00B21C9F" w:rsidRPr="000B0027">
        <w:t>u</w:t>
      </w:r>
      <w:r w:rsidRPr="000B0027">
        <w:t xml:space="preserve">sługodawcą </w:t>
      </w:r>
      <w:r w:rsidR="00FD26CC" w:rsidRPr="000B0027">
        <w:br/>
      </w:r>
      <w:r w:rsidRPr="000B0027">
        <w:t xml:space="preserve">a </w:t>
      </w:r>
      <w:r w:rsidR="00B21C9F" w:rsidRPr="000B0027">
        <w:t>p</w:t>
      </w:r>
      <w:r w:rsidRPr="000B0027">
        <w:t>rzedsiębiorcą</w:t>
      </w:r>
      <w:r w:rsidR="00EC1221" w:rsidRPr="000B0027">
        <w:t>, bez udziału MARR S.A., co oznacza że usługa nie będzie finansowana ze środków projektowych.</w:t>
      </w:r>
    </w:p>
    <w:p w14:paraId="1414127C" w14:textId="2CF06E06"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Nieobecności, o których mowa w ust. 11 pkt. 1 oraz nieprzystąpienie do </w:t>
      </w:r>
      <w:r w:rsidR="00B21C9F" w:rsidRPr="000B0027">
        <w:t>u</w:t>
      </w:r>
      <w:r w:rsidRPr="000B0027">
        <w:t xml:space="preserve">sługi walidacji i certyfikacji kompetencji, o którym mowa w ust. 11 pkt. 4 i 5 są usprawiedliwione, jeżeli </w:t>
      </w:r>
      <w:r w:rsidR="00B21C9F" w:rsidRPr="000B0027">
        <w:t>u</w:t>
      </w:r>
      <w:r w:rsidRPr="000B0027">
        <w:t xml:space="preserve">czestnik dostarczy do </w:t>
      </w:r>
      <w:r w:rsidR="00B21C9F" w:rsidRPr="000B0027">
        <w:t>u</w:t>
      </w:r>
      <w:r w:rsidRPr="000B0027">
        <w:t>sługodawcy zaświadczenie, wydane przez właściwy organ, potwierdzające przyczyny nieobecności (np. zwolnienie lekarskie, odpis aktu ślubu, zaświadczenie z sądu).</w:t>
      </w:r>
    </w:p>
    <w:p w14:paraId="6115E8A1" w14:textId="49134785" w:rsidR="00B54D5F" w:rsidRPr="000B0027" w:rsidRDefault="00B54D5F" w:rsidP="00B54D5F">
      <w:pPr>
        <w:pStyle w:val="Akapitzlist"/>
        <w:widowControl/>
        <w:numPr>
          <w:ilvl w:val="0"/>
          <w:numId w:val="7"/>
        </w:numPr>
        <w:autoSpaceDE/>
        <w:autoSpaceDN/>
        <w:spacing w:line="276" w:lineRule="auto"/>
        <w:contextualSpacing/>
        <w:jc w:val="both"/>
      </w:pPr>
      <w:r w:rsidRPr="000B0027">
        <w:lastRenderedPageBreak/>
        <w:t xml:space="preserve">Bonami rozwojowymi nie mogą być sfinansowane </w:t>
      </w:r>
      <w:r w:rsidR="00B21C9F" w:rsidRPr="000B0027">
        <w:t>u</w:t>
      </w:r>
      <w:r w:rsidRPr="000B0027">
        <w:t>sługi, które nie sp</w:t>
      </w:r>
      <w:r w:rsidR="00CF0131" w:rsidRPr="000B0027">
        <w:t>ełniają warunków określonych w </w:t>
      </w:r>
      <w:r w:rsidRPr="000B0027">
        <w:t xml:space="preserve">§ 3, a zostały wprowadzone przez </w:t>
      </w:r>
      <w:r w:rsidR="00B21C9F" w:rsidRPr="000B0027">
        <w:t>u</w:t>
      </w:r>
      <w:r w:rsidRPr="000B0027">
        <w:t xml:space="preserve">sługodawcę do BUR. Koszty takiej </w:t>
      </w:r>
      <w:r w:rsidR="00B21C9F" w:rsidRPr="000B0027">
        <w:t>u</w:t>
      </w:r>
      <w:r w:rsidRPr="000B0027">
        <w:t xml:space="preserve">sługi ponosi </w:t>
      </w:r>
      <w:r w:rsidR="00B21C9F" w:rsidRPr="000B0027">
        <w:t>u</w:t>
      </w:r>
      <w:r w:rsidRPr="000B0027">
        <w:t>sługodawca.</w:t>
      </w:r>
    </w:p>
    <w:p w14:paraId="208A4135" w14:textId="7AD1DE31"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Rozliczenie bonów następuje po zakończeniu </w:t>
      </w:r>
      <w:r w:rsidR="00B21C9F" w:rsidRPr="000B0027">
        <w:t>u</w:t>
      </w:r>
      <w:r w:rsidRPr="000B0027">
        <w:t xml:space="preserve">sługi i dokonaniu przez </w:t>
      </w:r>
      <w:r w:rsidR="00B21C9F" w:rsidRPr="000B0027">
        <w:t>u</w:t>
      </w:r>
      <w:r w:rsidRPr="000B0027">
        <w:t xml:space="preserve">czestnika </w:t>
      </w:r>
      <w:r w:rsidR="00B21C9F" w:rsidRPr="000B0027">
        <w:t>p</w:t>
      </w:r>
      <w:r w:rsidRPr="000B0027">
        <w:t xml:space="preserve">rojektu oceny każdej </w:t>
      </w:r>
      <w:r w:rsidR="00B21C9F" w:rsidRPr="000B0027">
        <w:t>u</w:t>
      </w:r>
      <w:r w:rsidRPr="000B0027">
        <w:t>sługi w Systemie Oceny Usług Rozwojowych w Bazie</w:t>
      </w:r>
      <w:r w:rsidR="00B21C9F" w:rsidRPr="000B0027">
        <w:t xml:space="preserve"> Usług Rozwojowych</w:t>
      </w:r>
      <w:r w:rsidRPr="000B0027">
        <w:t>.</w:t>
      </w:r>
    </w:p>
    <w:p w14:paraId="72F44420" w14:textId="3DEC9761"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Po zakończonej </w:t>
      </w:r>
      <w:r w:rsidR="00B21C9F" w:rsidRPr="000B0027">
        <w:t>u</w:t>
      </w:r>
      <w:r w:rsidRPr="000B0027">
        <w:t xml:space="preserve">słudze rozwojowej </w:t>
      </w:r>
      <w:r w:rsidR="00B21C9F" w:rsidRPr="000B0027">
        <w:t>u</w:t>
      </w:r>
      <w:r w:rsidRPr="000B0027">
        <w:t xml:space="preserve">sługodawca wystawia </w:t>
      </w:r>
      <w:r w:rsidR="00B21C9F" w:rsidRPr="000B0027">
        <w:t>u</w:t>
      </w:r>
      <w:r w:rsidRPr="000B0027">
        <w:t xml:space="preserve">czestnikowi </w:t>
      </w:r>
      <w:r w:rsidR="00B21C9F" w:rsidRPr="000B0027">
        <w:t>p</w:t>
      </w:r>
      <w:r w:rsidRPr="000B0027">
        <w:t xml:space="preserve">rojektu zaświadczenie potwierdzające osiągnięcie zakładanego efektu uczenia, które zawiera co najmniej: dane uczestnika; nazwę usługi zgodną z nazwą w </w:t>
      </w:r>
      <w:r w:rsidR="00FD26CC" w:rsidRPr="000B0027">
        <w:t>BUR</w:t>
      </w:r>
      <w:r w:rsidRPr="000B0027">
        <w:t xml:space="preserve">, identyfikatory związane z usługą nadane w systemie teleinformatycznym, dane usługobiorcy, termin realizacji usługi; liczbę zrealizowanych godzin, informację na temat efektów uczenia się, do których uzyskania usługobiorca przygotowywał </w:t>
      </w:r>
      <w:r w:rsidR="00CF0131" w:rsidRPr="000B0027">
        <w:t>się w </w:t>
      </w:r>
      <w:r w:rsidRPr="000B0027">
        <w:t xml:space="preserve">procesie uczenia się lub innych osiągniętych efektów tych usług oraz kod kwalifikacji w Zintegrowanym Rejestrze Kwalifikacji, jeżeli usługa miała na celu przygotowanie do uzyskania kwalifikacji, a także wystawia na uzasadnione wezwanie </w:t>
      </w:r>
      <w:r w:rsidR="00B21C9F" w:rsidRPr="000B0027">
        <w:t>u</w:t>
      </w:r>
      <w:r w:rsidRPr="000B0027">
        <w:t xml:space="preserve">czestnika korektę zaświadczenia </w:t>
      </w:r>
      <w:r w:rsidR="00FD26CC" w:rsidRPr="000B0027">
        <w:br/>
      </w:r>
      <w:r w:rsidRPr="000B0027">
        <w:t xml:space="preserve">w terminie 7 dni od dnia wezwania. W przypadku gdy usługa doradcza kończy się wytworzeniem produktu </w:t>
      </w:r>
      <w:r w:rsidR="00B21C9F" w:rsidRPr="000B0027">
        <w:t>u</w:t>
      </w:r>
      <w:r w:rsidRPr="000B0027">
        <w:t xml:space="preserve">sługodawca wystawia dokument potwierdzający opracowanie produktu tj. zrealizowanie usługi. </w:t>
      </w:r>
    </w:p>
    <w:p w14:paraId="1FE67078" w14:textId="0D4D556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Usługodawca wystawia fakturę/rachunek dla </w:t>
      </w:r>
      <w:r w:rsidR="00B21C9F" w:rsidRPr="000B0027">
        <w:t>p</w:t>
      </w:r>
      <w:r w:rsidRPr="000B0027">
        <w:t xml:space="preserve">rzedsiębiorcy za udział w usłudze, sprawdzając uprzednio, czy istnieje podstawa do uznania zrealizowanej </w:t>
      </w:r>
      <w:r w:rsidR="00B21C9F" w:rsidRPr="000B0027">
        <w:t>u</w:t>
      </w:r>
      <w:r w:rsidRPr="000B0027">
        <w:t xml:space="preserve">sługi za zwolnioną z podatku </w:t>
      </w:r>
      <w:r w:rsidR="00FD26CC" w:rsidRPr="000B0027">
        <w:br/>
      </w:r>
      <w:r w:rsidRPr="000B0027">
        <w:t xml:space="preserve">od towarów i usług. Na fakturze/rachunku za </w:t>
      </w:r>
      <w:r w:rsidR="00B21C9F" w:rsidRPr="000B0027">
        <w:t>u</w:t>
      </w:r>
      <w:r w:rsidRPr="000B0027">
        <w:t>sługę, o której mowa powyżej znajd</w:t>
      </w:r>
      <w:r w:rsidR="00CF0131" w:rsidRPr="000B0027">
        <w:t>ują się co najmniej elementy, o </w:t>
      </w:r>
      <w:r w:rsidRPr="000B0027">
        <w:t xml:space="preserve">których mowa w art. 106 e Ustawy z dnia 11.03.2004 r. o podatku od towarów i usług oraz dodatkowo: </w:t>
      </w:r>
    </w:p>
    <w:p w14:paraId="66757459" w14:textId="4E0FC112"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 xml:space="preserve">dane </w:t>
      </w:r>
      <w:r w:rsidR="00B21C9F" w:rsidRPr="000B0027">
        <w:rPr>
          <w:color w:val="auto"/>
          <w:sz w:val="22"/>
          <w:szCs w:val="22"/>
        </w:rPr>
        <w:t>p</w:t>
      </w:r>
      <w:r w:rsidRPr="000B0027">
        <w:rPr>
          <w:color w:val="auto"/>
          <w:sz w:val="22"/>
          <w:szCs w:val="22"/>
        </w:rPr>
        <w:t>rzedsiębiorcy</w:t>
      </w:r>
      <w:r w:rsidR="00FD26CC" w:rsidRPr="000B0027">
        <w:rPr>
          <w:color w:val="auto"/>
          <w:sz w:val="22"/>
          <w:szCs w:val="22"/>
        </w:rPr>
        <w:t>;</w:t>
      </w:r>
    </w:p>
    <w:p w14:paraId="42FD627C" w14:textId="4D6E9C0A"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liczba godzin usługi rozwojowej zgodnie z Kartą Usługi w BUR na jednego uczestnika</w:t>
      </w:r>
      <w:r w:rsidR="00FD26CC" w:rsidRPr="000B0027">
        <w:rPr>
          <w:color w:val="auto"/>
          <w:sz w:val="22"/>
          <w:szCs w:val="22"/>
        </w:rPr>
        <w:t>;</w:t>
      </w:r>
    </w:p>
    <w:p w14:paraId="0DB7F4F5" w14:textId="276516EF"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liczba wykorzystanych bonów na usługę</w:t>
      </w:r>
      <w:r w:rsidR="00FD26CC" w:rsidRPr="000B0027">
        <w:rPr>
          <w:color w:val="auto"/>
          <w:sz w:val="22"/>
          <w:szCs w:val="22"/>
        </w:rPr>
        <w:t>;</w:t>
      </w:r>
    </w:p>
    <w:p w14:paraId="653D2089" w14:textId="6C2D867E"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identyfikator związany z usługą nadany w systemie teleinformatycznym tj. numer usługi z karty usługi z Bazy Usług Rozwojowych</w:t>
      </w:r>
      <w:r w:rsidR="00FD26CC" w:rsidRPr="000B0027">
        <w:rPr>
          <w:color w:val="auto"/>
          <w:sz w:val="22"/>
          <w:szCs w:val="22"/>
        </w:rPr>
        <w:t>;</w:t>
      </w:r>
    </w:p>
    <w:p w14:paraId="7516172F" w14:textId="298D8E67"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kwota rozliczana bonami</w:t>
      </w:r>
      <w:r w:rsidR="00FD26CC" w:rsidRPr="000B0027">
        <w:rPr>
          <w:color w:val="auto"/>
          <w:sz w:val="22"/>
          <w:szCs w:val="22"/>
        </w:rPr>
        <w:t>;</w:t>
      </w:r>
    </w:p>
    <w:p w14:paraId="6B846A18" w14:textId="369CDE5C" w:rsidR="00B54D5F" w:rsidRPr="000B0027" w:rsidRDefault="00B54D5F" w:rsidP="00B54D5F">
      <w:pPr>
        <w:pStyle w:val="Default"/>
        <w:numPr>
          <w:ilvl w:val="0"/>
          <w:numId w:val="15"/>
        </w:numPr>
        <w:adjustRightInd/>
        <w:jc w:val="both"/>
        <w:rPr>
          <w:color w:val="auto"/>
          <w:sz w:val="22"/>
          <w:szCs w:val="22"/>
        </w:rPr>
      </w:pPr>
      <w:r w:rsidRPr="000B0027">
        <w:rPr>
          <w:color w:val="auto"/>
          <w:sz w:val="22"/>
          <w:szCs w:val="22"/>
        </w:rPr>
        <w:t xml:space="preserve">kwota rozliczana bezpośrednio z </w:t>
      </w:r>
      <w:r w:rsidR="00B21C9F" w:rsidRPr="000B0027">
        <w:rPr>
          <w:color w:val="auto"/>
          <w:sz w:val="22"/>
          <w:szCs w:val="22"/>
        </w:rPr>
        <w:t>p</w:t>
      </w:r>
      <w:r w:rsidRPr="000B0027">
        <w:rPr>
          <w:color w:val="auto"/>
          <w:sz w:val="22"/>
          <w:szCs w:val="22"/>
        </w:rPr>
        <w:t>rzedsiębiorcą</w:t>
      </w:r>
      <w:r w:rsidR="00FD26CC" w:rsidRPr="000B0027">
        <w:rPr>
          <w:color w:val="auto"/>
          <w:sz w:val="22"/>
          <w:szCs w:val="22"/>
        </w:rPr>
        <w:t>;</w:t>
      </w:r>
    </w:p>
    <w:p w14:paraId="51E71D05" w14:textId="3B0B3A33" w:rsidR="00B54D5F" w:rsidRPr="000B0027" w:rsidRDefault="00FD26CC" w:rsidP="00B54D5F">
      <w:pPr>
        <w:pStyle w:val="Default"/>
        <w:numPr>
          <w:ilvl w:val="0"/>
          <w:numId w:val="15"/>
        </w:numPr>
        <w:adjustRightInd/>
        <w:jc w:val="both"/>
        <w:rPr>
          <w:color w:val="auto"/>
          <w:sz w:val="22"/>
          <w:szCs w:val="22"/>
        </w:rPr>
      </w:pPr>
      <w:r w:rsidRPr="000B0027">
        <w:rPr>
          <w:color w:val="auto"/>
          <w:sz w:val="22"/>
          <w:szCs w:val="22"/>
        </w:rPr>
        <w:t>t</w:t>
      </w:r>
      <w:r w:rsidR="00B54D5F" w:rsidRPr="000B0027">
        <w:rPr>
          <w:color w:val="auto"/>
          <w:sz w:val="22"/>
          <w:szCs w:val="22"/>
        </w:rPr>
        <w:t xml:space="preserve">ermin płatności za wykonaną usługę. Wskazany na fakturze/rachunku termin nie powinien </w:t>
      </w:r>
      <w:r w:rsidRPr="000B0027">
        <w:rPr>
          <w:color w:val="auto"/>
          <w:sz w:val="22"/>
          <w:szCs w:val="22"/>
        </w:rPr>
        <w:br/>
      </w:r>
      <w:r w:rsidR="00B54D5F" w:rsidRPr="000B0027">
        <w:rPr>
          <w:color w:val="auto"/>
          <w:sz w:val="22"/>
          <w:szCs w:val="22"/>
        </w:rPr>
        <w:t xml:space="preserve">być krótszy niż 14 dni kalendarzowych oraz dłuższy niż 60. </w:t>
      </w:r>
    </w:p>
    <w:p w14:paraId="2A511DDD" w14:textId="75F71B84" w:rsidR="00B54D5F" w:rsidRPr="000B0027" w:rsidRDefault="000777F6" w:rsidP="00B54D5F">
      <w:pPr>
        <w:pStyle w:val="Akapitzlist"/>
        <w:widowControl/>
        <w:numPr>
          <w:ilvl w:val="0"/>
          <w:numId w:val="7"/>
        </w:numPr>
        <w:autoSpaceDE/>
        <w:autoSpaceDN/>
        <w:spacing w:line="276" w:lineRule="auto"/>
        <w:contextualSpacing/>
        <w:jc w:val="both"/>
      </w:pPr>
      <w:r>
        <w:t>O</w:t>
      </w:r>
      <w:r w:rsidR="00B54D5F" w:rsidRPr="000B0027">
        <w:t xml:space="preserve">stateczna zapłata za usługę </w:t>
      </w:r>
      <w:r w:rsidR="00551689">
        <w:t>zostanie dokonana przez MARR SA</w:t>
      </w:r>
      <w:r w:rsidR="00551689" w:rsidRPr="000B0027">
        <w:t xml:space="preserve"> </w:t>
      </w:r>
      <w:r w:rsidR="00B54D5F" w:rsidRPr="000B0027">
        <w:t>w</w:t>
      </w:r>
      <w:r w:rsidR="00425B2D">
        <w:t xml:space="preserve"> terminie do 5 dni roboczych od </w:t>
      </w:r>
      <w:r w:rsidR="00B54D5F" w:rsidRPr="000B0027">
        <w:t>dnia zaakceptowania w elektronicznym systemie poprawnie złożonego rozliczenia</w:t>
      </w:r>
      <w:r w:rsidR="00C966D3">
        <w:t>.</w:t>
      </w:r>
    </w:p>
    <w:p w14:paraId="04F360FC" w14:textId="0B172F5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Na uzasadnione wezwanie </w:t>
      </w:r>
      <w:r w:rsidR="00B144FE">
        <w:t xml:space="preserve">MARR S.A. lub </w:t>
      </w:r>
      <w:r w:rsidR="00B21C9F" w:rsidRPr="000B0027">
        <w:t>p</w:t>
      </w:r>
      <w:r w:rsidRPr="000B0027">
        <w:t>rzedsiębiorcy</w:t>
      </w:r>
      <w:r w:rsidR="00B144FE">
        <w:t>,</w:t>
      </w:r>
      <w:r w:rsidRPr="000B0027">
        <w:t xml:space="preserve"> </w:t>
      </w:r>
      <w:r w:rsidR="00551689">
        <w:t xml:space="preserve">usługodawca </w:t>
      </w:r>
      <w:r w:rsidR="00425B2D">
        <w:t>zobowiązuje się do </w:t>
      </w:r>
      <w:r w:rsidRPr="000B0027">
        <w:t>wystaw</w:t>
      </w:r>
      <w:r w:rsidR="00CF0131" w:rsidRPr="000B0027">
        <w:t>iana noty korygującej w ciągu 7 </w:t>
      </w:r>
      <w:r w:rsidRPr="000B0027">
        <w:t>dni od wezwania.</w:t>
      </w:r>
      <w:bookmarkStart w:id="4" w:name="_Hlk519150099"/>
      <w:r w:rsidRPr="000B0027">
        <w:t xml:space="preserve"> W celu rozliczenia </w:t>
      </w:r>
      <w:r w:rsidR="00B21C9F" w:rsidRPr="000B0027">
        <w:t>u</w:t>
      </w:r>
      <w:r w:rsidRPr="000B0027">
        <w:t xml:space="preserve">sługi </w:t>
      </w:r>
      <w:r w:rsidR="00B21C9F" w:rsidRPr="000B0027">
        <w:t>u</w:t>
      </w:r>
      <w:r w:rsidRPr="000B0027">
        <w:t xml:space="preserve">sługodawca: uzupełnia dane oraz przekazuje do MARR S.A. skany dokumentów w elektronicznym systemie bonów rozwojowych, wykorzystując do tego login i hasło do systemu. Treści do uzupełnienia przez </w:t>
      </w:r>
      <w:r w:rsidR="00B21C9F" w:rsidRPr="000B0027">
        <w:t>u</w:t>
      </w:r>
      <w:r w:rsidRPr="000B0027">
        <w:t xml:space="preserve">sługodawcę w ramach modułu rozliczenia są dostępne w ramach funkcjonalności systemu. </w:t>
      </w:r>
    </w:p>
    <w:bookmarkEnd w:id="4"/>
    <w:p w14:paraId="07DC51C8" w14:textId="5CCD9BEA"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Maksymalny termin na rozliczenie </w:t>
      </w:r>
      <w:r w:rsidR="00B21C9F" w:rsidRPr="000B0027">
        <w:t>u</w:t>
      </w:r>
      <w:r w:rsidRPr="000B0027">
        <w:t>sługi wynosi 60 dni kalendarzowych od zakończenia usługi</w:t>
      </w:r>
      <w:r w:rsidR="00B144FE">
        <w:t>.</w:t>
      </w:r>
      <w:r w:rsidR="00551689">
        <w:t xml:space="preserve"> </w:t>
      </w:r>
      <w:r w:rsidR="00F123B1" w:rsidRPr="000B0027">
        <w:t xml:space="preserve">Okres na </w:t>
      </w:r>
      <w:r w:rsidR="00F123B1">
        <w:t>rozliczenie usługi</w:t>
      </w:r>
      <w:r w:rsidR="00F123B1" w:rsidRPr="000B0027">
        <w:t>, może ulec skróceniu w końcowej fazie realizacji projektu, w związku z</w:t>
      </w:r>
      <w:r w:rsidR="00B144FE">
        <w:t> </w:t>
      </w:r>
      <w:r w:rsidR="00F123B1" w:rsidRPr="000B0027">
        <w:t xml:space="preserve">jego zakończeniem. Nieprzekraczalny termin na </w:t>
      </w:r>
      <w:r w:rsidR="00F123B1">
        <w:t>dostarczenie poprawnego rozliczenia</w:t>
      </w:r>
      <w:r w:rsidR="00F123B1" w:rsidRPr="000B0027">
        <w:t xml:space="preserve"> </w:t>
      </w:r>
      <w:r w:rsidR="00F123B1">
        <w:t xml:space="preserve">usług </w:t>
      </w:r>
      <w:r w:rsidR="00F123B1" w:rsidRPr="000B0027">
        <w:t>to 1</w:t>
      </w:r>
      <w:r w:rsidR="00B144FE">
        <w:t>5</w:t>
      </w:r>
      <w:r w:rsidR="00F123B1" w:rsidRPr="000B0027">
        <w:t>.12.2022 roku</w:t>
      </w:r>
      <w:r w:rsidRPr="000B0027">
        <w:t>. Usługodawca, co do zasady powinien złożyć rozliczenie usługi w r</w:t>
      </w:r>
      <w:r w:rsidR="00CF0131" w:rsidRPr="000B0027">
        <w:t>amach funkcjonalności systemu w </w:t>
      </w:r>
      <w:r w:rsidRPr="000B0027">
        <w:t>terminie do 10 dni kalendarzowych od dnia zakończenia usługi z</w:t>
      </w:r>
      <w:r w:rsidR="00B144FE">
        <w:t> </w:t>
      </w:r>
      <w:r w:rsidRPr="000B0027">
        <w:t xml:space="preserve">zastrzeżeniem, iż w przypadku usług, które kończą się egzaminem a wystawienie certyfikatu następuje w terminie późniejszym, </w:t>
      </w:r>
      <w:r w:rsidR="00B21C9F" w:rsidRPr="000B0027">
        <w:t>termin,</w:t>
      </w:r>
      <w:r w:rsidRPr="000B0027">
        <w:t xml:space="preserve"> o którym mowa powyżej może ulec wydłużeniu. Po upływie maksymalnego terminu na złożenie rozliczenia,</w:t>
      </w:r>
      <w:r w:rsidR="00FD26CC" w:rsidRPr="000B0027">
        <w:t xml:space="preserve"> o którym mowa w powyżej,</w:t>
      </w:r>
      <w:r w:rsidRPr="000B0027">
        <w:t xml:space="preserve"> usługa będzie traktowana jako niekwalifikowana. </w:t>
      </w:r>
    </w:p>
    <w:p w14:paraId="2A3A1BE8" w14:textId="47B66CE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W przypadku odrzucenia rozliczenia, </w:t>
      </w:r>
      <w:r w:rsidR="00B21C9F" w:rsidRPr="000B0027">
        <w:t>u</w:t>
      </w:r>
      <w:r w:rsidRPr="000B0027">
        <w:t xml:space="preserve">sługodawca jest zobowiązany do jego poprawy i ponownego przesłania w ramach funkcjonalności mbon w ciągu 14 dni kalendarzowych, licząc od dnia otrzymania informacji w ramach systemu o odrzucaniu rozliczenia. </w:t>
      </w:r>
      <w:r w:rsidR="00F123B1" w:rsidRPr="000B0027">
        <w:t xml:space="preserve">Okres na </w:t>
      </w:r>
      <w:r w:rsidR="00F123B1">
        <w:t>poprawienie rozliczenia usługi</w:t>
      </w:r>
      <w:r w:rsidR="00F123B1" w:rsidRPr="000B0027">
        <w:t xml:space="preserve">, może ulec skróceniu w końcowej fazie realizacji projektu, w związku z jego zakończeniem. Nieprzekraczalny termin na </w:t>
      </w:r>
      <w:r w:rsidR="00F123B1">
        <w:t>dostarczenie poprawnego rozliczenia</w:t>
      </w:r>
      <w:r w:rsidR="00F123B1" w:rsidRPr="000B0027">
        <w:t xml:space="preserve"> </w:t>
      </w:r>
      <w:r w:rsidR="00F123B1">
        <w:t xml:space="preserve">usług </w:t>
      </w:r>
      <w:r w:rsidR="00F123B1" w:rsidRPr="000B0027">
        <w:t xml:space="preserve">to </w:t>
      </w:r>
      <w:r w:rsidR="00B144FE" w:rsidRPr="000B0027">
        <w:t>1</w:t>
      </w:r>
      <w:r w:rsidR="00B144FE">
        <w:t>5</w:t>
      </w:r>
      <w:r w:rsidR="00F123B1" w:rsidRPr="000B0027">
        <w:t>.12.2022 roku</w:t>
      </w:r>
      <w:r w:rsidR="00F123B1">
        <w:t xml:space="preserve">. </w:t>
      </w:r>
      <w:r w:rsidRPr="000B0027">
        <w:t xml:space="preserve">Po </w:t>
      </w:r>
      <w:r w:rsidRPr="000B0027">
        <w:lastRenderedPageBreak/>
        <w:t xml:space="preserve">upływie maksymalnego terminu na złożenie poprawionego rozliczenia, </w:t>
      </w:r>
      <w:r w:rsidR="00FD26CC" w:rsidRPr="000B0027">
        <w:t xml:space="preserve">o którym mowa w ust. 20 powyżej, </w:t>
      </w:r>
      <w:r w:rsidRPr="000B0027">
        <w:t xml:space="preserve">usługa będzie traktowana jako niekwalifikowana. </w:t>
      </w:r>
    </w:p>
    <w:p w14:paraId="124D5A3E" w14:textId="512F1195"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Koszt udziału </w:t>
      </w:r>
      <w:r w:rsidR="00B21C9F" w:rsidRPr="000B0027">
        <w:t>u</w:t>
      </w:r>
      <w:r w:rsidRPr="000B0027">
        <w:t xml:space="preserve">czestnika </w:t>
      </w:r>
      <w:r w:rsidR="00B21C9F" w:rsidRPr="000B0027">
        <w:t>p</w:t>
      </w:r>
      <w:r w:rsidRPr="000B0027">
        <w:t>rojektu w usłudze, w stosunku do której nie zostało złożone rozl</w:t>
      </w:r>
      <w:r w:rsidR="00CF0131" w:rsidRPr="000B0027">
        <w:t>iczenie z </w:t>
      </w:r>
      <w:r w:rsidRPr="000B0027">
        <w:t xml:space="preserve">winy </w:t>
      </w:r>
      <w:r w:rsidR="00B21C9F" w:rsidRPr="000B0027">
        <w:t>u</w:t>
      </w:r>
      <w:r w:rsidRPr="000B0027">
        <w:t xml:space="preserve">sługodawcy ponosi </w:t>
      </w:r>
      <w:r w:rsidR="00B21C9F" w:rsidRPr="000B0027">
        <w:t>u</w:t>
      </w:r>
      <w:r w:rsidRPr="000B0027">
        <w:t>sługodawca.</w:t>
      </w:r>
    </w:p>
    <w:p w14:paraId="3C8BB086" w14:textId="2AB4A4A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Na pisemny wniosek </w:t>
      </w:r>
      <w:r w:rsidR="00B21C9F" w:rsidRPr="000B0027">
        <w:t>u</w:t>
      </w:r>
      <w:r w:rsidRPr="000B0027">
        <w:t>sługodawcy, w uzasadnionych przypadkach</w:t>
      </w:r>
      <w:r w:rsidR="00FD26CC" w:rsidRPr="000B0027">
        <w:t>,</w:t>
      </w:r>
      <w:r w:rsidRPr="000B0027">
        <w:t xml:space="preserve"> np. w wyniku choroby, urlopu, delegacji służbowej, które odpowiednio miały miejsce w terminie, w którym należało złożyć rozlicznie lub odpowiednio je poprawić, termin, o którym mowa w ust 19-20 może ulec wydłużeniu. </w:t>
      </w:r>
      <w:r w:rsidR="000B0027" w:rsidRPr="000B0027">
        <w:t>W</w:t>
      </w:r>
      <w:r w:rsidRPr="000B0027">
        <w:t>niosek o przedłużenie terminu</w:t>
      </w:r>
      <w:r w:rsidR="000B0027" w:rsidRPr="000B0027">
        <w:t>, sporządzony w formie dokumentowej, musi</w:t>
      </w:r>
      <w:r w:rsidRPr="000B0027">
        <w:t xml:space="preserve"> wpłynąć</w:t>
      </w:r>
      <w:r w:rsidR="000B0027" w:rsidRPr="000B0027">
        <w:t xml:space="preserve"> do MARR S.A.</w:t>
      </w:r>
      <w:r w:rsidRPr="000B0027">
        <w:t xml:space="preserve"> nie później niż w ciągu 30 dni kalendarzowych od upływu zdarzenia, które uniemożliwiło terminowe złożenie rozliczenia. </w:t>
      </w:r>
    </w:p>
    <w:p w14:paraId="55FFE0C4" w14:textId="21D77C9B"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Dokumenty, które jest zobowiązany co najmniej przekazać </w:t>
      </w:r>
      <w:r w:rsidR="00B21C9F" w:rsidRPr="000B0027">
        <w:t>u</w:t>
      </w:r>
      <w:r w:rsidRPr="000B0027">
        <w:t xml:space="preserve">sługodawca to: </w:t>
      </w:r>
    </w:p>
    <w:p w14:paraId="545EA21C" w14:textId="65E8B0D7" w:rsidR="00B54D5F" w:rsidRPr="000B0027" w:rsidRDefault="00FD26CC" w:rsidP="00B54D5F">
      <w:pPr>
        <w:pStyle w:val="Akapitzlist"/>
        <w:widowControl/>
        <w:numPr>
          <w:ilvl w:val="0"/>
          <w:numId w:val="16"/>
        </w:numPr>
        <w:autoSpaceDE/>
        <w:autoSpaceDN/>
        <w:spacing w:before="120" w:after="120" w:line="276" w:lineRule="auto"/>
        <w:ind w:left="709" w:hanging="283"/>
        <w:contextualSpacing/>
        <w:jc w:val="both"/>
      </w:pPr>
      <w:r w:rsidRPr="000B0027">
        <w:t>w</w:t>
      </w:r>
      <w:r w:rsidR="00B54D5F" w:rsidRPr="000B0027">
        <w:t xml:space="preserve">ersja elektroniczna faktury/rachunku za </w:t>
      </w:r>
      <w:r w:rsidR="00B21C9F" w:rsidRPr="000B0027">
        <w:t>u</w:t>
      </w:r>
      <w:r w:rsidR="00B54D5F" w:rsidRPr="000B0027">
        <w:t xml:space="preserve">sługę; </w:t>
      </w:r>
    </w:p>
    <w:p w14:paraId="4D7DDD05" w14:textId="77777777" w:rsidR="00B54D5F" w:rsidRPr="000B0027" w:rsidRDefault="00B54D5F" w:rsidP="00B54D5F">
      <w:pPr>
        <w:pStyle w:val="Akapitzlist"/>
        <w:widowControl/>
        <w:numPr>
          <w:ilvl w:val="0"/>
          <w:numId w:val="16"/>
        </w:numPr>
        <w:autoSpaceDE/>
        <w:autoSpaceDN/>
        <w:spacing w:before="120" w:after="120" w:line="276" w:lineRule="auto"/>
        <w:ind w:left="709" w:hanging="283"/>
        <w:contextualSpacing/>
        <w:jc w:val="both"/>
      </w:pPr>
      <w:r w:rsidRPr="000B0027">
        <w:t>skan zaświadczenia potwierdzającego osiągnięcie zakładanego efektu uczenia;</w:t>
      </w:r>
    </w:p>
    <w:p w14:paraId="7094E247" w14:textId="7E35AB3C" w:rsidR="00B54D5F" w:rsidRPr="000B0027" w:rsidRDefault="00B54D5F" w:rsidP="00B54D5F">
      <w:pPr>
        <w:pStyle w:val="Akapitzlist"/>
        <w:widowControl/>
        <w:numPr>
          <w:ilvl w:val="0"/>
          <w:numId w:val="16"/>
        </w:numPr>
        <w:autoSpaceDE/>
        <w:autoSpaceDN/>
        <w:spacing w:before="120" w:after="120" w:line="276" w:lineRule="auto"/>
        <w:ind w:left="709" w:hanging="283"/>
        <w:contextualSpacing/>
        <w:jc w:val="both"/>
      </w:pPr>
      <w:r w:rsidRPr="000B0027">
        <w:t xml:space="preserve">skan dokumentu potwierdzającego opracowanie produktu w przypadku usług doradczych skierowanych do </w:t>
      </w:r>
      <w:r w:rsidR="00B21C9F" w:rsidRPr="000B0027">
        <w:t>p</w:t>
      </w:r>
      <w:r w:rsidRPr="000B0027">
        <w:t>rzedsiębiorstwa, które kończą się opracowaniem produktu (jeśli dotyczy);</w:t>
      </w:r>
    </w:p>
    <w:p w14:paraId="1AB9B95A" w14:textId="197F3BA3" w:rsidR="00B54D5F" w:rsidRPr="000B0027" w:rsidRDefault="00B54D5F" w:rsidP="00B54D5F">
      <w:pPr>
        <w:pStyle w:val="Akapitzlist"/>
        <w:widowControl/>
        <w:numPr>
          <w:ilvl w:val="0"/>
          <w:numId w:val="16"/>
        </w:numPr>
        <w:autoSpaceDE/>
        <w:autoSpaceDN/>
        <w:spacing w:before="120" w:line="276" w:lineRule="auto"/>
        <w:ind w:left="709" w:hanging="283"/>
        <w:contextualSpacing/>
        <w:jc w:val="both"/>
      </w:pPr>
      <w:r w:rsidRPr="000B0027">
        <w:t xml:space="preserve">skan uzyskanego przez </w:t>
      </w:r>
      <w:r w:rsidR="00B21C9F" w:rsidRPr="000B0027">
        <w:t>u</w:t>
      </w:r>
      <w:r w:rsidRPr="000B0027">
        <w:t xml:space="preserve">czestnika </w:t>
      </w:r>
      <w:r w:rsidR="00B21C9F" w:rsidRPr="000B0027">
        <w:t>p</w:t>
      </w:r>
      <w:r w:rsidRPr="000B0027">
        <w:t xml:space="preserve">rojektu certyfikatu, a w przypadku nieuzyskania certyfikatu zaświadczenie o przystąpieniu do </w:t>
      </w:r>
      <w:r w:rsidR="00B21C9F" w:rsidRPr="000B0027">
        <w:t>u</w:t>
      </w:r>
      <w:r w:rsidRPr="000B0027">
        <w:t xml:space="preserve">sługi walidacji i certyfikacji kompetencji, wystawione przez podmiot uprawniony do przeprowadzania tej </w:t>
      </w:r>
      <w:r w:rsidR="00B21C9F" w:rsidRPr="000B0027">
        <w:t>u</w:t>
      </w:r>
      <w:r w:rsidRPr="000B0027">
        <w:t>sługi (jeśli dotyczy);</w:t>
      </w:r>
    </w:p>
    <w:p w14:paraId="62087966" w14:textId="411F9CA7" w:rsidR="00B54D5F" w:rsidRPr="000B0027" w:rsidRDefault="00B54D5F" w:rsidP="00B54D5F">
      <w:pPr>
        <w:pStyle w:val="Akapitzlist"/>
        <w:widowControl/>
        <w:numPr>
          <w:ilvl w:val="0"/>
          <w:numId w:val="16"/>
        </w:numPr>
        <w:autoSpaceDE/>
        <w:autoSpaceDN/>
        <w:spacing w:before="120" w:line="276" w:lineRule="auto"/>
        <w:ind w:left="709" w:hanging="283"/>
        <w:contextualSpacing/>
        <w:jc w:val="both"/>
      </w:pPr>
      <w:r w:rsidRPr="000B0027">
        <w:t xml:space="preserve">skan zaświadczenia/certyfikatu zgodny z wymogami certyfikacji </w:t>
      </w:r>
      <w:r w:rsidR="00B21C9F" w:rsidRPr="000B0027">
        <w:t>u</w:t>
      </w:r>
      <w:r w:rsidRPr="000B0027">
        <w:t>sługi rozwojowej mające na celu zdobycie lub potwierdzenie kwalifikacji, o których mowa w art. 2 pkt 8 ustawy z dnia 22 grudnia 2015 r. o Zintegrowanym Systemie Kwalifikacji (jeśli dotyczy);</w:t>
      </w:r>
    </w:p>
    <w:p w14:paraId="7A2637BC" w14:textId="2AD521DE" w:rsidR="00B54D5F" w:rsidRPr="000B0027" w:rsidRDefault="00B54D5F" w:rsidP="00B54D5F">
      <w:pPr>
        <w:pStyle w:val="Akapitzlist"/>
        <w:widowControl/>
        <w:numPr>
          <w:ilvl w:val="0"/>
          <w:numId w:val="16"/>
        </w:numPr>
        <w:autoSpaceDE/>
        <w:autoSpaceDN/>
        <w:spacing w:before="120" w:line="276" w:lineRule="auto"/>
        <w:ind w:left="709" w:hanging="283"/>
        <w:contextualSpacing/>
        <w:jc w:val="both"/>
      </w:pPr>
      <w:r w:rsidRPr="000B0027">
        <w:t>Skan dokumentów potwierdzających usprawiedliwioną nieobecność uczestnika na usłudze rozwojowej (jeśli dotyczy)</w:t>
      </w:r>
      <w:r w:rsidR="00FD26CC" w:rsidRPr="000B0027">
        <w:t>;</w:t>
      </w:r>
    </w:p>
    <w:p w14:paraId="273526E7" w14:textId="74C99499" w:rsidR="00B54D5F" w:rsidRPr="000B0027" w:rsidRDefault="00B54D5F" w:rsidP="00B54D5F">
      <w:pPr>
        <w:pStyle w:val="Akapitzlist"/>
        <w:widowControl/>
        <w:numPr>
          <w:ilvl w:val="0"/>
          <w:numId w:val="16"/>
        </w:numPr>
        <w:autoSpaceDE/>
        <w:autoSpaceDN/>
        <w:spacing w:before="120" w:line="276" w:lineRule="auto"/>
        <w:ind w:left="709" w:hanging="283"/>
        <w:contextualSpacing/>
        <w:jc w:val="both"/>
      </w:pPr>
      <w:r w:rsidRPr="000B0027">
        <w:t xml:space="preserve">W przypadku gdy wystawienie certyfikatu nastąpi w okresie późniejszym niż 1 miesiąc od dnia przeprowadzenia usługi walidacji </w:t>
      </w:r>
      <w:r w:rsidR="00B21C9F" w:rsidRPr="000B0027">
        <w:t>u</w:t>
      </w:r>
      <w:r w:rsidRPr="000B0027">
        <w:t>sługodawca może przedstawić do rozliczenia zamiast kopii certyfikatu zaświadczenie, o którym mowa w pkt. 2.</w:t>
      </w:r>
    </w:p>
    <w:p w14:paraId="3D222C48" w14:textId="4D80FB7E"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Termin na weryfikację złożonego przez </w:t>
      </w:r>
      <w:r w:rsidR="00B21C9F" w:rsidRPr="000B0027">
        <w:t>u</w:t>
      </w:r>
      <w:r w:rsidRPr="000B0027">
        <w:t xml:space="preserve">sługodawcę w systemie elektronicznym rozliczenia wraz ze skanami dokumentów wynosi 5 dni roboczych od daty odbioru </w:t>
      </w:r>
      <w:r w:rsidR="00B21C9F" w:rsidRPr="000B0027">
        <w:t xml:space="preserve">poprawnych </w:t>
      </w:r>
      <w:r w:rsidRPr="000B0027">
        <w:t xml:space="preserve">dokumentów w systemie informatycznym </w:t>
      </w:r>
      <w:proofErr w:type="spellStart"/>
      <w:r w:rsidRPr="000B0027">
        <w:t>mbon</w:t>
      </w:r>
      <w:proofErr w:type="spellEnd"/>
      <w:r w:rsidR="00ED6B76" w:rsidRPr="000B0027">
        <w:t>.</w:t>
      </w:r>
    </w:p>
    <w:p w14:paraId="6309A11E" w14:textId="3AA0D731" w:rsidR="00B54D5F" w:rsidRPr="000B0027" w:rsidRDefault="00B54D5F" w:rsidP="00B54D5F">
      <w:pPr>
        <w:pStyle w:val="Akapitzlist"/>
        <w:widowControl/>
        <w:numPr>
          <w:ilvl w:val="0"/>
          <w:numId w:val="7"/>
        </w:numPr>
        <w:autoSpaceDE/>
        <w:autoSpaceDN/>
        <w:spacing w:line="276" w:lineRule="auto"/>
        <w:contextualSpacing/>
        <w:jc w:val="both"/>
      </w:pPr>
      <w:r w:rsidRPr="000B0027">
        <w:t>W wyniku przeprowadzonej weryfikacji rozliczenie otrzymuje status zaakceptowane</w:t>
      </w:r>
      <w:r w:rsidR="00ED6B76" w:rsidRPr="000B0027">
        <w:t>,</w:t>
      </w:r>
      <w:r w:rsidRPr="000B0027">
        <w:t xml:space="preserve"> jeśli nie wystąpią przesłanki skierowania rozliczenia do poprawy. W przypadku konieczności poprawy/</w:t>
      </w:r>
      <w:r w:rsidR="00FD26CC" w:rsidRPr="000B0027">
        <w:t xml:space="preserve"> </w:t>
      </w:r>
      <w:r w:rsidRPr="000B0027">
        <w:t>uzupełnienia dokumentów lub przedstawienia dodatkowych wyjaśnień rozliczenie zostanie odrzuconej i przeka</w:t>
      </w:r>
      <w:r w:rsidR="00B21C9F" w:rsidRPr="000B0027">
        <w:t>za</w:t>
      </w:r>
      <w:r w:rsidR="00CF0131" w:rsidRPr="000B0027">
        <w:t>n</w:t>
      </w:r>
      <w:r w:rsidRPr="000B0027">
        <w:t xml:space="preserve">e do poprawy. </w:t>
      </w:r>
    </w:p>
    <w:p w14:paraId="0376E95F" w14:textId="0E4A379C" w:rsidR="00B54D5F" w:rsidRPr="000B0027" w:rsidRDefault="00B54D5F" w:rsidP="00B54D5F">
      <w:pPr>
        <w:pStyle w:val="Akapitzlist"/>
        <w:widowControl/>
        <w:numPr>
          <w:ilvl w:val="0"/>
          <w:numId w:val="7"/>
        </w:numPr>
        <w:autoSpaceDE/>
        <w:autoSpaceDN/>
        <w:spacing w:line="276" w:lineRule="auto"/>
        <w:contextualSpacing/>
        <w:jc w:val="both"/>
      </w:pPr>
      <w:r w:rsidRPr="000B0027">
        <w:t xml:space="preserve">Po dokonaniu pozytywnej weryfikacji w ramach systemu, w zakresie uzupełnionych danych przez </w:t>
      </w:r>
      <w:r w:rsidR="00B21C9F" w:rsidRPr="000B0027">
        <w:t>u</w:t>
      </w:r>
      <w:r w:rsidRPr="000B0027">
        <w:t xml:space="preserve">sługodawcę oraz przekazanych skanów dokumentów, dokonywana jest płatność przez MARR S.A. na rzecz </w:t>
      </w:r>
      <w:r w:rsidR="00B21C9F" w:rsidRPr="000B0027">
        <w:t>u</w:t>
      </w:r>
      <w:r w:rsidRPr="000B0027">
        <w:t>sługodawcy. Termin rozliczania bonów dotyczących przeprowadzonej usługi rozwojowej</w:t>
      </w:r>
      <w:r w:rsidR="00FD26CC" w:rsidRPr="000B0027">
        <w:t>,</w:t>
      </w:r>
      <w:r w:rsidRPr="000B0027">
        <w:t xml:space="preserve"> tj. wypłaty na rzecz </w:t>
      </w:r>
      <w:r w:rsidR="00B21C9F" w:rsidRPr="000B0027">
        <w:t>u</w:t>
      </w:r>
      <w:r w:rsidRPr="000B0027">
        <w:t xml:space="preserve">sługodawcy środków finansowych za przeprowadzoną usługę rozwojową wynosi 5 dni roboczych od daty zatwierdzenia rozliczenia w systemie informatycznym mbon. </w:t>
      </w:r>
    </w:p>
    <w:p w14:paraId="03E3A374" w14:textId="5CE96347" w:rsidR="00B54D5F" w:rsidRPr="000B0027" w:rsidRDefault="00B54D5F" w:rsidP="00B54D5F">
      <w:pPr>
        <w:pStyle w:val="Akapitzlist"/>
        <w:widowControl/>
        <w:numPr>
          <w:ilvl w:val="0"/>
          <w:numId w:val="7"/>
        </w:numPr>
        <w:autoSpaceDE/>
        <w:autoSpaceDN/>
        <w:spacing w:line="276" w:lineRule="auto"/>
        <w:contextualSpacing/>
        <w:jc w:val="both"/>
        <w:rPr>
          <w:rFonts w:eastAsia="Calibri"/>
          <w:color w:val="000000"/>
        </w:rPr>
      </w:pPr>
      <w:r w:rsidRPr="000B0027">
        <w:rPr>
          <w:rFonts w:eastAsia="Calibri"/>
          <w:color w:val="000000"/>
        </w:rPr>
        <w:t xml:space="preserve">Bony zostaną rozliczone, jeżeli wydatek został prawidłowo udokumentowany, zgodnie opisem </w:t>
      </w:r>
      <w:r w:rsidR="00FD26CC" w:rsidRPr="000B0027">
        <w:rPr>
          <w:rFonts w:eastAsia="Calibri"/>
          <w:color w:val="000000"/>
        </w:rPr>
        <w:br/>
      </w:r>
      <w:r w:rsidRPr="000B0027">
        <w:rPr>
          <w:rFonts w:eastAsia="Calibri"/>
          <w:color w:val="000000"/>
        </w:rPr>
        <w:t xml:space="preserve">w </w:t>
      </w:r>
      <w:r w:rsidRPr="000B0027">
        <w:rPr>
          <w:bCs/>
          <w:color w:val="000000"/>
        </w:rPr>
        <w:t>§ 4</w:t>
      </w:r>
      <w:r w:rsidRPr="000B0027">
        <w:rPr>
          <w:rFonts w:eastAsia="Calibri"/>
          <w:color w:val="000000"/>
        </w:rPr>
        <w:t xml:space="preserve"> </w:t>
      </w:r>
      <w:r w:rsidR="00B21C9F" w:rsidRPr="000B0027">
        <w:rPr>
          <w:rFonts w:eastAsia="Calibri"/>
          <w:color w:val="000000"/>
        </w:rPr>
        <w:t>u</w:t>
      </w:r>
      <w:r w:rsidRPr="000B0027">
        <w:rPr>
          <w:rFonts w:eastAsia="Calibri"/>
          <w:color w:val="000000"/>
        </w:rPr>
        <w:t xml:space="preserve">sługodawca przedstawił w wymaganym terminie kompletne i poprawne dokumenty </w:t>
      </w:r>
      <w:r w:rsidR="00FD26CC" w:rsidRPr="000B0027">
        <w:rPr>
          <w:rFonts w:eastAsia="Calibri"/>
          <w:color w:val="000000"/>
        </w:rPr>
        <w:br/>
      </w:r>
      <w:r w:rsidRPr="000B0027">
        <w:rPr>
          <w:rFonts w:eastAsia="Calibri"/>
          <w:color w:val="000000"/>
        </w:rPr>
        <w:t xml:space="preserve">do rozliczenia MARR S.A. W przypadku niewypełnienia tych obowiązków przez </w:t>
      </w:r>
      <w:r w:rsidR="001E34F4" w:rsidRPr="000B0027">
        <w:rPr>
          <w:rFonts w:eastAsia="Calibri"/>
          <w:color w:val="000000"/>
        </w:rPr>
        <w:t>u</w:t>
      </w:r>
      <w:r w:rsidRPr="000B0027">
        <w:rPr>
          <w:rFonts w:eastAsia="Calibri"/>
          <w:color w:val="000000"/>
        </w:rPr>
        <w:t xml:space="preserve">sługodawcę koszty </w:t>
      </w:r>
      <w:r w:rsidR="001E34F4" w:rsidRPr="000B0027">
        <w:rPr>
          <w:rFonts w:eastAsia="Calibri"/>
          <w:color w:val="000000"/>
        </w:rPr>
        <w:t>u</w:t>
      </w:r>
      <w:r w:rsidRPr="000B0027">
        <w:rPr>
          <w:rFonts w:eastAsia="Calibri"/>
          <w:color w:val="000000"/>
        </w:rPr>
        <w:t xml:space="preserve">sługi ponosi </w:t>
      </w:r>
      <w:r w:rsidR="001E34F4" w:rsidRPr="000B0027">
        <w:rPr>
          <w:rFonts w:eastAsia="Calibri"/>
          <w:color w:val="000000"/>
        </w:rPr>
        <w:t>u</w:t>
      </w:r>
      <w:r w:rsidRPr="000B0027">
        <w:rPr>
          <w:rFonts w:eastAsia="Calibri"/>
          <w:color w:val="000000"/>
        </w:rPr>
        <w:t>sługodawca.</w:t>
      </w:r>
    </w:p>
    <w:p w14:paraId="4F02469F" w14:textId="44802EB0" w:rsidR="00B54D5F" w:rsidRPr="000B0027" w:rsidRDefault="00B54D5F" w:rsidP="00B54D5F">
      <w:pPr>
        <w:pStyle w:val="Akapitzlist"/>
        <w:widowControl/>
        <w:numPr>
          <w:ilvl w:val="0"/>
          <w:numId w:val="7"/>
        </w:numPr>
        <w:autoSpaceDE/>
        <w:autoSpaceDN/>
        <w:spacing w:line="276" w:lineRule="auto"/>
        <w:contextualSpacing/>
        <w:jc w:val="both"/>
        <w:rPr>
          <w:rFonts w:eastAsia="Calibri"/>
          <w:color w:val="000000"/>
        </w:rPr>
      </w:pPr>
      <w:r w:rsidRPr="000B0027">
        <w:rPr>
          <w:rFonts w:eastAsia="Calibri"/>
          <w:color w:val="000000"/>
        </w:rPr>
        <w:t xml:space="preserve">Usługodawca przyjmuje do wiadomości, </w:t>
      </w:r>
      <w:r w:rsidR="001E34F4" w:rsidRPr="000B0027">
        <w:rPr>
          <w:rFonts w:eastAsia="Calibri"/>
          <w:color w:val="000000"/>
        </w:rPr>
        <w:t>ż</w:t>
      </w:r>
      <w:r w:rsidRPr="000B0027">
        <w:rPr>
          <w:rFonts w:eastAsia="Calibri"/>
          <w:color w:val="000000"/>
        </w:rPr>
        <w:t xml:space="preserve">e płatności dokonywane w ramach projektu, </w:t>
      </w:r>
      <w:r w:rsidR="00ED6B76" w:rsidRPr="000B0027">
        <w:rPr>
          <w:rFonts w:eastAsia="Calibri"/>
          <w:color w:val="000000"/>
        </w:rPr>
        <w:br/>
      </w:r>
      <w:r w:rsidRPr="000B0027">
        <w:rPr>
          <w:rFonts w:eastAsia="Calibri"/>
          <w:color w:val="000000"/>
        </w:rPr>
        <w:t>są dokonywane z zastrzeżeniem ich zwrotu w przypadku gdyby zapłat</w:t>
      </w:r>
      <w:r w:rsidR="00F123B1">
        <w:rPr>
          <w:rFonts w:eastAsia="Calibri"/>
          <w:color w:val="000000"/>
        </w:rPr>
        <w:t>a</w:t>
      </w:r>
      <w:r w:rsidRPr="000B0027">
        <w:rPr>
          <w:rFonts w:eastAsia="Calibri"/>
          <w:color w:val="000000"/>
        </w:rPr>
        <w:t xml:space="preserve"> ta była nienależna </w:t>
      </w:r>
      <w:r w:rsidR="00ED6B76" w:rsidRPr="000B0027">
        <w:rPr>
          <w:rFonts w:eastAsia="Calibri"/>
          <w:color w:val="000000"/>
        </w:rPr>
        <w:br/>
      </w:r>
      <w:r w:rsidRPr="000B0027">
        <w:rPr>
          <w:rFonts w:eastAsia="Calibri"/>
          <w:color w:val="000000"/>
        </w:rPr>
        <w:t>w szczególności na skutek niewykonania lub nienależytego wykonania świadczonych usług rozwojowych.</w:t>
      </w:r>
    </w:p>
    <w:p w14:paraId="255C256B" w14:textId="3015CE38" w:rsidR="00B54D5F" w:rsidRPr="000B0027" w:rsidRDefault="00B54D5F" w:rsidP="00B54D5F">
      <w:pPr>
        <w:pStyle w:val="Akapitzlist"/>
        <w:widowControl/>
        <w:numPr>
          <w:ilvl w:val="0"/>
          <w:numId w:val="7"/>
        </w:numPr>
        <w:autoSpaceDE/>
        <w:autoSpaceDN/>
        <w:spacing w:line="276" w:lineRule="auto"/>
        <w:contextualSpacing/>
        <w:jc w:val="both"/>
        <w:rPr>
          <w:rFonts w:eastAsia="Calibri"/>
          <w:color w:val="000000"/>
        </w:rPr>
      </w:pPr>
      <w:r w:rsidRPr="000B0027">
        <w:rPr>
          <w:rFonts w:eastAsia="Calibri"/>
          <w:color w:val="000000"/>
        </w:rPr>
        <w:t xml:space="preserve">Usługodawca, przyjmuje do wiadomości, że niezbędnym elementem złożenia i rozliczenia usługi jest wypełnienie przez </w:t>
      </w:r>
      <w:r w:rsidR="001E34F4" w:rsidRPr="000B0027">
        <w:rPr>
          <w:rFonts w:eastAsia="Calibri"/>
          <w:color w:val="000000"/>
        </w:rPr>
        <w:t>p</w:t>
      </w:r>
      <w:r w:rsidRPr="000B0027">
        <w:rPr>
          <w:rFonts w:eastAsia="Calibri"/>
          <w:color w:val="000000"/>
        </w:rPr>
        <w:t xml:space="preserve">rzedsiębiorcę: </w:t>
      </w:r>
    </w:p>
    <w:p w14:paraId="5B1443AD" w14:textId="738ECCFC" w:rsidR="00B54D5F" w:rsidRPr="000B0027" w:rsidRDefault="00ED6B76" w:rsidP="00B54D5F">
      <w:pPr>
        <w:pStyle w:val="Default"/>
        <w:numPr>
          <w:ilvl w:val="0"/>
          <w:numId w:val="26"/>
        </w:numPr>
        <w:ind w:left="993"/>
        <w:jc w:val="both"/>
        <w:rPr>
          <w:rFonts w:eastAsia="Calibri"/>
          <w:kern w:val="1"/>
          <w:sz w:val="22"/>
          <w:szCs w:val="22"/>
          <w:lang w:val="x-none" w:eastAsia="hi-IN" w:bidi="hi-IN"/>
        </w:rPr>
      </w:pPr>
      <w:r w:rsidRPr="000B0027">
        <w:rPr>
          <w:rFonts w:eastAsia="Calibri"/>
          <w:kern w:val="1"/>
          <w:sz w:val="22"/>
          <w:szCs w:val="22"/>
          <w:lang w:eastAsia="hi-IN" w:bidi="hi-IN"/>
        </w:rPr>
        <w:t>a</w:t>
      </w:r>
      <w:proofErr w:type="spellStart"/>
      <w:r w:rsidR="00B54D5F" w:rsidRPr="000B0027">
        <w:rPr>
          <w:rFonts w:eastAsia="Calibri"/>
          <w:kern w:val="1"/>
          <w:sz w:val="22"/>
          <w:szCs w:val="22"/>
          <w:lang w:val="x-none" w:eastAsia="hi-IN" w:bidi="hi-IN"/>
        </w:rPr>
        <w:t>nkiety</w:t>
      </w:r>
      <w:proofErr w:type="spellEnd"/>
      <w:r w:rsidR="00B54D5F" w:rsidRPr="000B0027">
        <w:rPr>
          <w:rFonts w:eastAsia="Calibri"/>
          <w:kern w:val="1"/>
          <w:sz w:val="22"/>
          <w:szCs w:val="22"/>
          <w:lang w:val="x-none" w:eastAsia="hi-IN" w:bidi="hi-IN"/>
        </w:rPr>
        <w:t xml:space="preserve"> z poziomu instytucjonalnego przez </w:t>
      </w:r>
      <w:r w:rsidR="00CF0131" w:rsidRPr="000B0027">
        <w:rPr>
          <w:rFonts w:eastAsia="Calibri"/>
          <w:kern w:val="1"/>
          <w:sz w:val="22"/>
          <w:szCs w:val="22"/>
          <w:lang w:val="x-none" w:eastAsia="hi-IN" w:bidi="hi-IN"/>
        </w:rPr>
        <w:t>przedsiębiorcę</w:t>
      </w:r>
      <w:r w:rsidRPr="000B0027">
        <w:rPr>
          <w:rFonts w:eastAsia="Calibri"/>
          <w:kern w:val="1"/>
          <w:sz w:val="22"/>
          <w:szCs w:val="22"/>
          <w:lang w:eastAsia="hi-IN" w:bidi="hi-IN"/>
        </w:rPr>
        <w:t>;</w:t>
      </w:r>
    </w:p>
    <w:p w14:paraId="33751A77" w14:textId="054ECBB6" w:rsidR="00B54D5F" w:rsidRPr="000B0027" w:rsidRDefault="00ED6B76" w:rsidP="00B54D5F">
      <w:pPr>
        <w:pStyle w:val="Default"/>
        <w:numPr>
          <w:ilvl w:val="0"/>
          <w:numId w:val="26"/>
        </w:numPr>
        <w:ind w:left="993"/>
        <w:jc w:val="both"/>
        <w:rPr>
          <w:sz w:val="22"/>
          <w:szCs w:val="22"/>
        </w:rPr>
      </w:pPr>
      <w:r w:rsidRPr="000B0027">
        <w:rPr>
          <w:rFonts w:eastAsia="Calibri"/>
          <w:kern w:val="1"/>
          <w:sz w:val="22"/>
          <w:szCs w:val="22"/>
          <w:lang w:eastAsia="hi-IN" w:bidi="hi-IN"/>
        </w:rPr>
        <w:t>a</w:t>
      </w:r>
      <w:proofErr w:type="spellStart"/>
      <w:r w:rsidR="00B54D5F" w:rsidRPr="000B0027">
        <w:rPr>
          <w:rFonts w:eastAsia="Calibri"/>
          <w:kern w:val="1"/>
          <w:sz w:val="22"/>
          <w:szCs w:val="22"/>
          <w:lang w:val="x-none" w:eastAsia="hi-IN" w:bidi="hi-IN"/>
        </w:rPr>
        <w:t>nkiety</w:t>
      </w:r>
      <w:proofErr w:type="spellEnd"/>
      <w:r w:rsidR="00B54D5F" w:rsidRPr="000B0027">
        <w:rPr>
          <w:rFonts w:eastAsia="Calibri"/>
          <w:kern w:val="1"/>
          <w:sz w:val="22"/>
          <w:szCs w:val="22"/>
          <w:lang w:val="x-none" w:eastAsia="hi-IN" w:bidi="hi-IN"/>
        </w:rPr>
        <w:t xml:space="preserve"> z poziomu indywidualnego, przez pracowników uczestniczących w</w:t>
      </w:r>
      <w:r w:rsidR="00B54D5F" w:rsidRPr="000B0027">
        <w:rPr>
          <w:rFonts w:eastAsia="Calibri"/>
          <w:kern w:val="1"/>
          <w:sz w:val="22"/>
          <w:szCs w:val="22"/>
          <w:lang w:eastAsia="hi-IN" w:bidi="hi-IN"/>
        </w:rPr>
        <w:t> </w:t>
      </w:r>
      <w:r w:rsidR="00B54D5F" w:rsidRPr="000B0027">
        <w:rPr>
          <w:rFonts w:eastAsia="Calibri"/>
          <w:kern w:val="1"/>
          <w:sz w:val="22"/>
          <w:szCs w:val="22"/>
          <w:lang w:val="x-none" w:eastAsia="hi-IN" w:bidi="hi-IN"/>
        </w:rPr>
        <w:t xml:space="preserve">usłudze. </w:t>
      </w:r>
      <w:r w:rsidR="00B54D5F" w:rsidRPr="000B0027">
        <w:rPr>
          <w:sz w:val="22"/>
          <w:szCs w:val="22"/>
        </w:rPr>
        <w:t xml:space="preserve">Ankiety należy wypełnić w ramach BUR w nieprzekraczalnym terminie max. 7 dni kalendarzowych od zakończenia usługi. Okres na wypełnienie ankiety, może ulec skróceniu w końcowej fazie </w:t>
      </w:r>
      <w:r w:rsidR="00B54D5F" w:rsidRPr="000B0027">
        <w:rPr>
          <w:sz w:val="22"/>
          <w:szCs w:val="22"/>
        </w:rPr>
        <w:lastRenderedPageBreak/>
        <w:t xml:space="preserve">realizacji projektu, w związku z jego zakończeniem. Nieprzekraczalny termin na wypełnienie ankiet to 10.12.2022 roku. </w:t>
      </w:r>
    </w:p>
    <w:p w14:paraId="443002C3" w14:textId="1CDA67C7" w:rsidR="00B54D5F" w:rsidRPr="000B0027" w:rsidRDefault="00B54D5F" w:rsidP="00ED6B76">
      <w:pPr>
        <w:pStyle w:val="Default"/>
        <w:jc w:val="both"/>
        <w:rPr>
          <w:sz w:val="22"/>
          <w:szCs w:val="22"/>
        </w:rPr>
      </w:pPr>
      <w:r w:rsidRPr="000B0027">
        <w:rPr>
          <w:sz w:val="22"/>
          <w:szCs w:val="22"/>
        </w:rPr>
        <w:t xml:space="preserve">W przypadku braku terminowego uzupełnienia ankiety w BUR, </w:t>
      </w:r>
      <w:r w:rsidR="001E34F4" w:rsidRPr="000B0027">
        <w:rPr>
          <w:sz w:val="22"/>
          <w:szCs w:val="22"/>
        </w:rPr>
        <w:t>u</w:t>
      </w:r>
      <w:r w:rsidRPr="000B0027">
        <w:rPr>
          <w:sz w:val="22"/>
          <w:szCs w:val="22"/>
        </w:rPr>
        <w:t xml:space="preserve">sługodawca może obciążyć </w:t>
      </w:r>
      <w:r w:rsidR="001E34F4" w:rsidRPr="000B0027">
        <w:rPr>
          <w:sz w:val="22"/>
          <w:szCs w:val="22"/>
        </w:rPr>
        <w:t>p</w:t>
      </w:r>
      <w:r w:rsidRPr="000B0027">
        <w:rPr>
          <w:sz w:val="22"/>
          <w:szCs w:val="22"/>
        </w:rPr>
        <w:t>rzedsiębiorcę kosztami całej usługi.</w:t>
      </w:r>
    </w:p>
    <w:p w14:paraId="00E6D753" w14:textId="77777777" w:rsidR="00B54D5F" w:rsidRPr="000B0027" w:rsidRDefault="00B54D5F" w:rsidP="00B54D5F">
      <w:pPr>
        <w:spacing w:before="240"/>
        <w:jc w:val="center"/>
        <w:rPr>
          <w:b/>
        </w:rPr>
      </w:pPr>
      <w:r w:rsidRPr="000B0027">
        <w:rPr>
          <w:b/>
        </w:rPr>
        <w:t>§ 5</w:t>
      </w:r>
    </w:p>
    <w:p w14:paraId="32DF2E85" w14:textId="77777777" w:rsidR="00B54D5F" w:rsidRPr="000B0027" w:rsidRDefault="00B54D5F" w:rsidP="00B54D5F">
      <w:pPr>
        <w:jc w:val="center"/>
        <w:rPr>
          <w:b/>
          <w:lang w:eastAsia="hi-IN"/>
        </w:rPr>
      </w:pPr>
      <w:r w:rsidRPr="000B0027">
        <w:rPr>
          <w:b/>
        </w:rPr>
        <w:t>Monitoring i kontrola</w:t>
      </w:r>
    </w:p>
    <w:p w14:paraId="370873F8" w14:textId="77777777" w:rsidR="00B54D5F" w:rsidRPr="000B0027" w:rsidRDefault="00B54D5F" w:rsidP="00B54D5F">
      <w:pPr>
        <w:jc w:val="center"/>
        <w:rPr>
          <w:b/>
        </w:rPr>
      </w:pPr>
    </w:p>
    <w:p w14:paraId="5A55B34B" w14:textId="5C5D281F" w:rsidR="00B54D5F" w:rsidRPr="000B0027" w:rsidRDefault="00CF0131" w:rsidP="00B54D5F">
      <w:pPr>
        <w:pStyle w:val="Akapitzlist"/>
        <w:widowControl/>
        <w:numPr>
          <w:ilvl w:val="0"/>
          <w:numId w:val="17"/>
        </w:numPr>
        <w:autoSpaceDE/>
        <w:autoSpaceDN/>
        <w:spacing w:line="276" w:lineRule="auto"/>
        <w:ind w:left="284" w:hanging="284"/>
        <w:contextualSpacing/>
        <w:jc w:val="both"/>
      </w:pPr>
      <w:r w:rsidRPr="000B0027">
        <w:t xml:space="preserve">Usługodawca zobowiązuje się do poddania kontroli w zakresie prawidłowości realizacji usług realizowanych na rzecz przedsiębiorców, w ramach projektu „Małopolskie Bony Rozwojowe plus”. Kontrola może być dokonywana przez MARR S.A., Instytucję Zarządzającą RPO WM, Instytucję Pośredniczącą RPO WM oraz inne instytucje do tego uprawnione. </w:t>
      </w:r>
      <w:r w:rsidR="00B54D5F" w:rsidRPr="000B0027">
        <w:t xml:space="preserve">Usługodawca zapewnia możliwość monitorowania i kontroli przez </w:t>
      </w:r>
      <w:r w:rsidR="00B54D5F" w:rsidRPr="000B0027">
        <w:rPr>
          <w:lang w:eastAsia="zh-CN"/>
        </w:rPr>
        <w:t>MARR S.A.</w:t>
      </w:r>
      <w:r w:rsidR="00B54D5F" w:rsidRPr="000B0027">
        <w:t xml:space="preserve"> lub podmioty przez niego wskazane</w:t>
      </w:r>
      <w:r w:rsidRPr="000B0027">
        <w:t xml:space="preserve"> w zakresie</w:t>
      </w:r>
      <w:r w:rsidR="00B54D5F" w:rsidRPr="000B0027">
        <w:t>:</w:t>
      </w:r>
    </w:p>
    <w:p w14:paraId="24CC1D43" w14:textId="1DDFC8EA" w:rsidR="00B54D5F" w:rsidRPr="000B0027" w:rsidRDefault="00B54D5F" w:rsidP="00B54D5F">
      <w:pPr>
        <w:pStyle w:val="Akapitzlist"/>
        <w:widowControl/>
        <w:numPr>
          <w:ilvl w:val="0"/>
          <w:numId w:val="18"/>
        </w:numPr>
        <w:autoSpaceDE/>
        <w:autoSpaceDN/>
        <w:spacing w:line="276" w:lineRule="auto"/>
        <w:contextualSpacing/>
        <w:jc w:val="both"/>
      </w:pPr>
      <w:r w:rsidRPr="000B0027">
        <w:t xml:space="preserve">faktycznej realizacji </w:t>
      </w:r>
      <w:r w:rsidR="001E34F4" w:rsidRPr="000B0027">
        <w:t>u</w:t>
      </w:r>
      <w:r w:rsidRPr="000B0027">
        <w:t>sługi w miejscu jej świadczenia (wizyta m</w:t>
      </w:r>
      <w:r w:rsidR="00CF0131" w:rsidRPr="000B0027">
        <w:t>onitoringowa) i jej zgodności z </w:t>
      </w:r>
      <w:r w:rsidRPr="000B0027">
        <w:t>opisem zamieszczonym w BUR w Karcie Usługi;</w:t>
      </w:r>
    </w:p>
    <w:p w14:paraId="458B6516" w14:textId="3038DDF3" w:rsidR="00B54D5F" w:rsidRPr="000B0027" w:rsidRDefault="00B54D5F" w:rsidP="00B54D5F">
      <w:pPr>
        <w:pStyle w:val="Akapitzlist"/>
        <w:widowControl/>
        <w:numPr>
          <w:ilvl w:val="0"/>
          <w:numId w:val="18"/>
        </w:numPr>
        <w:autoSpaceDE/>
        <w:autoSpaceDN/>
        <w:spacing w:line="276" w:lineRule="auto"/>
        <w:contextualSpacing/>
        <w:jc w:val="both"/>
      </w:pPr>
      <w:r w:rsidRPr="000B0027">
        <w:t xml:space="preserve">zgodności realizacji </w:t>
      </w:r>
      <w:r w:rsidR="001E34F4" w:rsidRPr="000B0027">
        <w:t>u</w:t>
      </w:r>
      <w:r w:rsidRPr="000B0027">
        <w:t>sług z warunkami opisanymi w § 3 poprzez:</w:t>
      </w:r>
    </w:p>
    <w:p w14:paraId="0FB1DD5A" w14:textId="14D6DFCE" w:rsidR="00B54D5F" w:rsidRPr="000B0027" w:rsidRDefault="00B54D5F" w:rsidP="00B54D5F">
      <w:pPr>
        <w:pStyle w:val="Akapitzlist"/>
        <w:widowControl/>
        <w:numPr>
          <w:ilvl w:val="0"/>
          <w:numId w:val="19"/>
        </w:numPr>
        <w:autoSpaceDE/>
        <w:autoSpaceDN/>
        <w:spacing w:line="276" w:lineRule="auto"/>
        <w:ind w:left="993" w:hanging="284"/>
        <w:contextualSpacing/>
        <w:jc w:val="both"/>
      </w:pPr>
      <w:r w:rsidRPr="000B0027">
        <w:t xml:space="preserve">uczestnictwo w działaniach monitorujących inicjowanych przez </w:t>
      </w:r>
      <w:r w:rsidRPr="000B0027">
        <w:rPr>
          <w:lang w:eastAsia="zh-CN"/>
        </w:rPr>
        <w:t xml:space="preserve">MARR S.A. </w:t>
      </w:r>
      <w:r w:rsidR="00CF0131" w:rsidRPr="000B0027">
        <w:t>(prowadzonych w </w:t>
      </w:r>
      <w:r w:rsidRPr="000B0027">
        <w:t>formie np. ankiety, rozmowy);</w:t>
      </w:r>
    </w:p>
    <w:p w14:paraId="35858FCD" w14:textId="0D4B5EA2" w:rsidR="00B54D5F" w:rsidRPr="000B0027" w:rsidRDefault="00B54D5F" w:rsidP="00B54D5F">
      <w:pPr>
        <w:pStyle w:val="Akapitzlist"/>
        <w:widowControl/>
        <w:numPr>
          <w:ilvl w:val="0"/>
          <w:numId w:val="19"/>
        </w:numPr>
        <w:autoSpaceDE/>
        <w:autoSpaceDN/>
        <w:spacing w:line="276" w:lineRule="auto"/>
        <w:ind w:left="993" w:hanging="284"/>
        <w:contextualSpacing/>
        <w:jc w:val="both"/>
      </w:pPr>
      <w:r w:rsidRPr="000B0027">
        <w:t>umożliwienie, w miarę stwierdzonej przez MARR S.A. potrzeby, przeprowadzenia czynności kontrolnych w celu weryfikacji realizacji usługi zgodnie z wymagan</w:t>
      </w:r>
      <w:r w:rsidR="00CF0131" w:rsidRPr="000B0027">
        <w:t>iami określonymi w § 3, a w </w:t>
      </w:r>
      <w:r w:rsidRPr="000B0027">
        <w:t xml:space="preserve">szczególności weryfikacji informacji zgłaszanych przez </w:t>
      </w:r>
      <w:r w:rsidR="001E34F4" w:rsidRPr="000B0027">
        <w:t>u</w:t>
      </w:r>
      <w:r w:rsidRPr="000B0027">
        <w:t xml:space="preserve">czestników </w:t>
      </w:r>
      <w:r w:rsidR="001E34F4" w:rsidRPr="000B0027">
        <w:t>p</w:t>
      </w:r>
      <w:r w:rsidRPr="000B0027">
        <w:t>rojektu;</w:t>
      </w:r>
    </w:p>
    <w:p w14:paraId="5FEA7799" w14:textId="77777777" w:rsidR="00B54D5F" w:rsidRPr="000B0027" w:rsidRDefault="00B54D5F" w:rsidP="00B54D5F">
      <w:pPr>
        <w:pStyle w:val="Akapitzlist"/>
        <w:widowControl/>
        <w:numPr>
          <w:ilvl w:val="0"/>
          <w:numId w:val="19"/>
        </w:numPr>
        <w:autoSpaceDE/>
        <w:autoSpaceDN/>
        <w:spacing w:line="276" w:lineRule="auto"/>
        <w:ind w:left="993" w:hanging="284"/>
        <w:contextualSpacing/>
        <w:jc w:val="both"/>
      </w:pPr>
      <w:r w:rsidRPr="000B0027">
        <w:t xml:space="preserve">niezwłoczne udostępnienie wszystkich niezbędnych informacji i dokumentów dla czynności wymienionych w </w:t>
      </w:r>
      <w:proofErr w:type="spellStart"/>
      <w:r w:rsidRPr="000B0027">
        <w:t>ppkt</w:t>
      </w:r>
      <w:proofErr w:type="spellEnd"/>
      <w:r w:rsidRPr="000B0027">
        <w:t>. a i b.</w:t>
      </w:r>
    </w:p>
    <w:p w14:paraId="40FB1767" w14:textId="3AD2657B" w:rsidR="00B54D5F" w:rsidRPr="000B0027" w:rsidRDefault="00B54D5F" w:rsidP="00B54D5F">
      <w:pPr>
        <w:pStyle w:val="Akapitzlist"/>
        <w:widowControl/>
        <w:numPr>
          <w:ilvl w:val="0"/>
          <w:numId w:val="18"/>
        </w:numPr>
        <w:autoSpaceDE/>
        <w:autoSpaceDN/>
        <w:spacing w:line="276" w:lineRule="auto"/>
        <w:contextualSpacing/>
        <w:jc w:val="both"/>
      </w:pPr>
      <w:r w:rsidRPr="000B0027">
        <w:t xml:space="preserve">dokumentacji związanej z realizowaną </w:t>
      </w:r>
      <w:r w:rsidR="001E34F4" w:rsidRPr="000B0027">
        <w:t>u</w:t>
      </w:r>
      <w:r w:rsidRPr="000B0027">
        <w:t>sługą, rozliczoną bonami rozwojowymi, w trakcie realizacji usługi lub po jej zakończeniu.</w:t>
      </w:r>
    </w:p>
    <w:p w14:paraId="7BBD96B1" w14:textId="348C0074"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Wizyta monitoringowa, o której mowa w ust. 1 pkt. 1 przeprowadzana jest bez uprzedniego informowania </w:t>
      </w:r>
      <w:r w:rsidR="001E34F4" w:rsidRPr="000B0027">
        <w:t>u</w:t>
      </w:r>
      <w:r w:rsidRPr="000B0027">
        <w:t>sługodawcy.</w:t>
      </w:r>
    </w:p>
    <w:p w14:paraId="334B010F" w14:textId="633B911A"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W przypadku kontroli dokumentów związanych z realizacją </w:t>
      </w:r>
      <w:r w:rsidR="001E34F4" w:rsidRPr="000B0027">
        <w:t>u</w:t>
      </w:r>
      <w:r w:rsidRPr="000B0027">
        <w:t xml:space="preserve">sług dla </w:t>
      </w:r>
      <w:r w:rsidR="001E34F4" w:rsidRPr="000B0027">
        <w:t>u</w:t>
      </w:r>
      <w:r w:rsidRPr="000B0027">
        <w:t xml:space="preserve">czestników </w:t>
      </w:r>
      <w:r w:rsidR="001E34F4" w:rsidRPr="000B0027">
        <w:t>p</w:t>
      </w:r>
      <w:r w:rsidRPr="000B0027">
        <w:t xml:space="preserve">rojektu </w:t>
      </w:r>
      <w:r w:rsidR="001E34F4" w:rsidRPr="000B0027">
        <w:t>„</w:t>
      </w:r>
      <w:r w:rsidRPr="000B0027">
        <w:t>Małopolskie Bony Rozwojowe plus</w:t>
      </w:r>
      <w:r w:rsidR="001E34F4" w:rsidRPr="000B0027">
        <w:t>”</w:t>
      </w:r>
      <w:r w:rsidRPr="000B0027">
        <w:t xml:space="preserve">, kontrola może mieć charakter kontroli planowej lub doraźnej. </w:t>
      </w:r>
    </w:p>
    <w:p w14:paraId="0EA92C10" w14:textId="49EB851D" w:rsidR="00B54D5F" w:rsidRPr="000B0027" w:rsidRDefault="00B54D5F" w:rsidP="00ED6B76">
      <w:pPr>
        <w:pStyle w:val="Akapitzlist"/>
        <w:spacing w:line="276" w:lineRule="auto"/>
        <w:ind w:left="284"/>
        <w:contextualSpacing/>
        <w:jc w:val="both"/>
      </w:pPr>
      <w:r w:rsidRPr="000B0027">
        <w:t xml:space="preserve"> </w:t>
      </w:r>
    </w:p>
    <w:p w14:paraId="0B0C1AB0" w14:textId="485AD9FB"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Kontrole przeprowadzane są na podstawie pisemnego imiennego upoważnienia do przeprowadzenia kontroli. W ramach </w:t>
      </w:r>
      <w:r w:rsidR="001E34F4" w:rsidRPr="000B0027">
        <w:t>p</w:t>
      </w:r>
      <w:r w:rsidRPr="000B0027">
        <w:t>rojektu kontrolę przeprowadza(-ją) upoważniona(</w:t>
      </w:r>
      <w:r w:rsidR="00CF0131" w:rsidRPr="000B0027">
        <w:t>-e) osoba(-y) przez MARR S.A. w </w:t>
      </w:r>
      <w:r w:rsidRPr="000B0027">
        <w:t xml:space="preserve">siedzibie MARR S.A. lub w każdym miejscu bezpośrednio związanym z realizacją </w:t>
      </w:r>
      <w:r w:rsidR="00F123B1">
        <w:t>p</w:t>
      </w:r>
      <w:r w:rsidRPr="000B0027">
        <w:t xml:space="preserve">rojektu. </w:t>
      </w:r>
    </w:p>
    <w:p w14:paraId="6A68803E" w14:textId="7686928F"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Kontrole mogą być przeprowadzane w każdym czasie okresu obowiązywania Umowy o dofinasowanie zawartej z </w:t>
      </w:r>
      <w:r w:rsidR="001E34F4" w:rsidRPr="000B0027">
        <w:t>p</w:t>
      </w:r>
      <w:r w:rsidRPr="000B0027">
        <w:t xml:space="preserve">rzedsiębiorcą, który brał udział w usługach rozwojowych realizowanych z dofinasowaniem przez </w:t>
      </w:r>
      <w:r w:rsidR="001E34F4" w:rsidRPr="000B0027">
        <w:t>u</w:t>
      </w:r>
      <w:r w:rsidRPr="000B0027">
        <w:t xml:space="preserve">sługodawcę, tj. w trakcie i na zakończenie realizacji </w:t>
      </w:r>
      <w:r w:rsidR="001E34F4" w:rsidRPr="000B0027">
        <w:t>p</w:t>
      </w:r>
      <w:r w:rsidRPr="000B0027">
        <w:t xml:space="preserve">rojektu oraz po zakończeniu realizacji </w:t>
      </w:r>
      <w:r w:rsidR="001E34F4" w:rsidRPr="000B0027">
        <w:t>p</w:t>
      </w:r>
      <w:r w:rsidRPr="000B0027">
        <w:t xml:space="preserve">rojektu. Usługodawca jest powiadamiany o terminie i rodzaju planowanej kontroli na co najmniej </w:t>
      </w:r>
      <w:r w:rsidR="00ED6B76" w:rsidRPr="000B0027">
        <w:br/>
      </w:r>
      <w:r w:rsidRPr="000B0027">
        <w:t>3 dni przed terminem rozpoczęcia kontroli. Istnieje możliwość jednokrotnej zmiany terminu wyznac</w:t>
      </w:r>
      <w:r w:rsidR="00CF0131" w:rsidRPr="000B0027">
        <w:t>zonego w </w:t>
      </w:r>
      <w:r w:rsidRPr="000B0027">
        <w:t xml:space="preserve">powiadomieniu, o czym należy poinformować MARR S.A. wraz z podaniem uzasadnienia. Zmiana terminu wyznaczonego w drugim powiadomieniu traktowana będzie </w:t>
      </w:r>
      <w:r w:rsidR="00ED6B76" w:rsidRPr="000B0027">
        <w:br/>
      </w:r>
      <w:r w:rsidRPr="000B0027">
        <w:t xml:space="preserve">jako odmowa poddania się kontroli. W przypadku kontroli doraźnej dopuszcza się sytuację, w której </w:t>
      </w:r>
      <w:r w:rsidR="001E34F4" w:rsidRPr="000B0027">
        <w:t>u</w:t>
      </w:r>
      <w:r w:rsidRPr="000B0027">
        <w:t xml:space="preserve">sługodawca nie zostanie poinformowany o kontroli. </w:t>
      </w:r>
    </w:p>
    <w:p w14:paraId="460CAE1A" w14:textId="77777777"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Usługodawca zobowiązany jest udostępnić kontrolującym wszelkie dokumenty związane z realizacją usług rozwojowych realizowanych z dofinasowaniem w ramach projektu, w tym również w wersji elektronicznej.</w:t>
      </w:r>
    </w:p>
    <w:p w14:paraId="6F8004A4" w14:textId="5EB062DE"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Podczas kontroli przeprowadzanej w jednostce organizacyjnej </w:t>
      </w:r>
      <w:r w:rsidR="001E34F4" w:rsidRPr="000B0027">
        <w:t>u</w:t>
      </w:r>
      <w:r w:rsidRPr="000B0027">
        <w:t xml:space="preserve">sługodawcy, </w:t>
      </w:r>
      <w:r w:rsidR="001E34F4" w:rsidRPr="000B0027">
        <w:t>u</w:t>
      </w:r>
      <w:r w:rsidRPr="000B0027">
        <w:t xml:space="preserve">sługodawca zapewnia obecność osób upoważnionych do udzielenia wyjaśnień nt. procedur, wydatków i innych zagadnień związanych z realizacją </w:t>
      </w:r>
      <w:r w:rsidR="001E34F4" w:rsidRPr="000B0027">
        <w:t>p</w:t>
      </w:r>
      <w:r w:rsidRPr="000B0027">
        <w:t xml:space="preserve">rojektu. </w:t>
      </w:r>
    </w:p>
    <w:p w14:paraId="1D3F08AF" w14:textId="3AE9A676"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Nieudostępnienie wszystkich wymaganych dokumentów lub odmowa udzielenia informacji jest traktowane jako </w:t>
      </w:r>
      <w:r w:rsidR="00ED6B76" w:rsidRPr="000B0027">
        <w:t xml:space="preserve">odmowa </w:t>
      </w:r>
      <w:r w:rsidRPr="000B0027">
        <w:t xml:space="preserve">przeprowadzenia kontroli. </w:t>
      </w:r>
    </w:p>
    <w:p w14:paraId="163CD3DB" w14:textId="2FCDB724" w:rsidR="00B54D5F" w:rsidRPr="000B0027" w:rsidRDefault="00B54D5F" w:rsidP="00B54D5F">
      <w:pPr>
        <w:pStyle w:val="Akapitzlist"/>
        <w:widowControl/>
        <w:numPr>
          <w:ilvl w:val="0"/>
          <w:numId w:val="17"/>
        </w:numPr>
        <w:autoSpaceDE/>
        <w:autoSpaceDN/>
        <w:spacing w:line="276" w:lineRule="auto"/>
        <w:ind w:left="284" w:hanging="284"/>
        <w:contextualSpacing/>
        <w:jc w:val="both"/>
      </w:pPr>
      <w:r w:rsidRPr="000B0027">
        <w:t xml:space="preserve">W trakcie kontroli </w:t>
      </w:r>
      <w:r w:rsidR="001E34F4" w:rsidRPr="000B0027">
        <w:t>k</w:t>
      </w:r>
      <w:r w:rsidRPr="000B0027">
        <w:t xml:space="preserve">ontrolujący ma prawo do: </w:t>
      </w:r>
    </w:p>
    <w:p w14:paraId="36982777" w14:textId="77777777" w:rsidR="00B54D5F" w:rsidRPr="000B0027" w:rsidRDefault="00B54D5F" w:rsidP="00B54D5F">
      <w:pPr>
        <w:pStyle w:val="Default"/>
        <w:numPr>
          <w:ilvl w:val="0"/>
          <w:numId w:val="29"/>
        </w:numPr>
        <w:jc w:val="both"/>
        <w:rPr>
          <w:sz w:val="22"/>
          <w:szCs w:val="22"/>
        </w:rPr>
      </w:pPr>
      <w:r w:rsidRPr="000B0027">
        <w:rPr>
          <w:sz w:val="22"/>
          <w:szCs w:val="22"/>
        </w:rPr>
        <w:lastRenderedPageBreak/>
        <w:t xml:space="preserve">wglądu oraz tworzenia kopii i odpisów dokumentów związanych z działalnością jednostki kontrolowanej, w zakresie dotyczącym kontroli (z zachowaniem przepisów o tajemnicy chronionej prawem); </w:t>
      </w:r>
    </w:p>
    <w:p w14:paraId="062ECED6" w14:textId="77777777" w:rsidR="00B54D5F" w:rsidRPr="000B0027" w:rsidRDefault="00B54D5F" w:rsidP="00B54D5F">
      <w:pPr>
        <w:pStyle w:val="Default"/>
        <w:numPr>
          <w:ilvl w:val="0"/>
          <w:numId w:val="29"/>
        </w:numPr>
        <w:jc w:val="both"/>
        <w:rPr>
          <w:sz w:val="22"/>
          <w:szCs w:val="22"/>
        </w:rPr>
      </w:pPr>
      <w:r w:rsidRPr="000B0027">
        <w:rPr>
          <w:rFonts w:eastAsiaTheme="minorHAnsi"/>
          <w:sz w:val="22"/>
          <w:szCs w:val="22"/>
          <w:lang w:eastAsia="en-US"/>
        </w:rPr>
        <w:t>wglądu w informacje zawarte w elektronicznych systemach komputerowych jednostki kontrolowanej, w zakresie dotyczącym kontroli</w:t>
      </w:r>
      <w:r w:rsidRPr="000B0027">
        <w:rPr>
          <w:sz w:val="22"/>
          <w:szCs w:val="22"/>
        </w:rPr>
        <w:t xml:space="preserve">; </w:t>
      </w:r>
    </w:p>
    <w:p w14:paraId="4CC1899C" w14:textId="01F7A76A" w:rsidR="00B54D5F" w:rsidRPr="000B0027" w:rsidRDefault="00B54D5F" w:rsidP="00B54D5F">
      <w:pPr>
        <w:pStyle w:val="Default"/>
        <w:numPr>
          <w:ilvl w:val="0"/>
          <w:numId w:val="29"/>
        </w:numPr>
        <w:jc w:val="both"/>
        <w:rPr>
          <w:sz w:val="22"/>
          <w:szCs w:val="22"/>
        </w:rPr>
      </w:pPr>
      <w:r w:rsidRPr="000B0027">
        <w:rPr>
          <w:sz w:val="22"/>
          <w:szCs w:val="22"/>
        </w:rPr>
        <w:t xml:space="preserve">żądania ustnych i pisemnych wyjaśnień od </w:t>
      </w:r>
      <w:r w:rsidR="001E34F4" w:rsidRPr="000B0027">
        <w:rPr>
          <w:sz w:val="22"/>
          <w:szCs w:val="22"/>
        </w:rPr>
        <w:t>u</w:t>
      </w:r>
      <w:r w:rsidRPr="000B0027">
        <w:rPr>
          <w:sz w:val="22"/>
          <w:szCs w:val="22"/>
        </w:rPr>
        <w:t xml:space="preserve">sługodawcy w sprawach dotyczących przedmiotu kontroli; </w:t>
      </w:r>
    </w:p>
    <w:p w14:paraId="37C90368" w14:textId="14DE3DFD" w:rsidR="00B54D5F" w:rsidRPr="000B0027" w:rsidRDefault="00B54D5F" w:rsidP="00B54D5F">
      <w:pPr>
        <w:pStyle w:val="Default"/>
        <w:numPr>
          <w:ilvl w:val="0"/>
          <w:numId w:val="29"/>
        </w:numPr>
        <w:jc w:val="both"/>
        <w:rPr>
          <w:sz w:val="22"/>
          <w:szCs w:val="22"/>
        </w:rPr>
      </w:pPr>
      <w:r w:rsidRPr="000B0027">
        <w:rPr>
          <w:sz w:val="22"/>
          <w:szCs w:val="22"/>
        </w:rPr>
        <w:t xml:space="preserve">żądania odpisów, zestawień i wyciągów z badanych dokumentów, których prawdziwość potwierdza </w:t>
      </w:r>
      <w:r w:rsidR="001E34F4" w:rsidRPr="000B0027">
        <w:rPr>
          <w:sz w:val="22"/>
          <w:szCs w:val="22"/>
        </w:rPr>
        <w:t>u</w:t>
      </w:r>
      <w:r w:rsidRPr="000B0027">
        <w:rPr>
          <w:sz w:val="22"/>
          <w:szCs w:val="22"/>
        </w:rPr>
        <w:t xml:space="preserve">sługodawca; </w:t>
      </w:r>
    </w:p>
    <w:p w14:paraId="35948F8A" w14:textId="77777777" w:rsidR="00B54D5F" w:rsidRPr="000B0027" w:rsidRDefault="00B54D5F" w:rsidP="00B54D5F">
      <w:pPr>
        <w:pStyle w:val="Default"/>
        <w:numPr>
          <w:ilvl w:val="0"/>
          <w:numId w:val="29"/>
        </w:numPr>
        <w:jc w:val="both"/>
        <w:rPr>
          <w:sz w:val="22"/>
          <w:szCs w:val="22"/>
        </w:rPr>
      </w:pPr>
      <w:r w:rsidRPr="000B0027">
        <w:rPr>
          <w:sz w:val="22"/>
          <w:szCs w:val="22"/>
        </w:rPr>
        <w:t xml:space="preserve">sprawdzania przebiegu określonych czynności, w zakresie dotyczącym kontroli; </w:t>
      </w:r>
    </w:p>
    <w:p w14:paraId="1F53640C" w14:textId="77777777" w:rsidR="00B54D5F" w:rsidRPr="000B0027" w:rsidRDefault="00B54D5F" w:rsidP="00B54D5F">
      <w:pPr>
        <w:pStyle w:val="Default"/>
        <w:numPr>
          <w:ilvl w:val="0"/>
          <w:numId w:val="29"/>
        </w:numPr>
        <w:jc w:val="both"/>
        <w:rPr>
          <w:sz w:val="22"/>
          <w:szCs w:val="22"/>
        </w:rPr>
      </w:pPr>
      <w:r w:rsidRPr="000B0027">
        <w:rPr>
          <w:sz w:val="22"/>
          <w:szCs w:val="22"/>
        </w:rPr>
        <w:t xml:space="preserve">sporządzania adnotacji na skontrolowanych dokumentach; </w:t>
      </w:r>
    </w:p>
    <w:p w14:paraId="5D31DBB3" w14:textId="77777777" w:rsidR="00B54D5F" w:rsidRPr="000B0027" w:rsidRDefault="00B54D5F" w:rsidP="00B54D5F">
      <w:pPr>
        <w:pStyle w:val="Default"/>
        <w:numPr>
          <w:ilvl w:val="0"/>
          <w:numId w:val="29"/>
        </w:numPr>
        <w:jc w:val="both"/>
        <w:rPr>
          <w:sz w:val="22"/>
          <w:szCs w:val="22"/>
        </w:rPr>
      </w:pPr>
      <w:r w:rsidRPr="000B0027">
        <w:rPr>
          <w:sz w:val="22"/>
          <w:szCs w:val="22"/>
        </w:rPr>
        <w:t xml:space="preserve">przyjmowania oświadczeń. </w:t>
      </w:r>
    </w:p>
    <w:p w14:paraId="5CC65CD5" w14:textId="77777777" w:rsidR="00B54D5F" w:rsidRPr="000B0027" w:rsidRDefault="00B54D5F" w:rsidP="00ED6B76">
      <w:pPr>
        <w:pStyle w:val="Akapitzlist"/>
        <w:widowControl/>
        <w:numPr>
          <w:ilvl w:val="0"/>
          <w:numId w:val="17"/>
        </w:numPr>
        <w:autoSpaceDE/>
        <w:autoSpaceDN/>
        <w:spacing w:line="276" w:lineRule="auto"/>
        <w:ind w:left="284" w:hanging="426"/>
        <w:contextualSpacing/>
        <w:jc w:val="both"/>
      </w:pPr>
      <w:r w:rsidRPr="000B0027">
        <w:t xml:space="preserve">Kontrolujący, w celu potwierdzenia prawidłowości i kwalifikowalności poniesionych wydatków, mogą zwrócić się o złożenie wyjaśnień od osób zaangażowanych w realizację usług. </w:t>
      </w:r>
    </w:p>
    <w:p w14:paraId="11547413" w14:textId="0BBB314F" w:rsidR="00B54D5F" w:rsidRPr="000B0027" w:rsidRDefault="00B54D5F" w:rsidP="00ED6B76">
      <w:pPr>
        <w:pStyle w:val="Akapitzlist"/>
        <w:widowControl/>
        <w:numPr>
          <w:ilvl w:val="0"/>
          <w:numId w:val="17"/>
        </w:numPr>
        <w:autoSpaceDE/>
        <w:autoSpaceDN/>
        <w:spacing w:line="276" w:lineRule="auto"/>
        <w:ind w:left="284" w:hanging="426"/>
        <w:contextualSpacing/>
        <w:jc w:val="both"/>
      </w:pPr>
      <w:r w:rsidRPr="000B0027">
        <w:t xml:space="preserve">W przypadku niemożności zebrania wystarczających dowodów do przygotowania informacji pokontrolnej, </w:t>
      </w:r>
      <w:r w:rsidR="001E34F4" w:rsidRPr="000B0027">
        <w:t>u</w:t>
      </w:r>
      <w:r w:rsidRPr="000B0027">
        <w:t xml:space="preserve">sługodawca zobowiązany jest do złożenia wyjaśnień/uzupełnień w terminie wskazanym przez kontrolujących. Dostarczenie wymaganych dowodów wznawia przerwany termin do wydania informacji pokontrolnej. </w:t>
      </w:r>
    </w:p>
    <w:p w14:paraId="6FF5B027" w14:textId="2F5E9EE8" w:rsidR="00B54D5F" w:rsidRPr="000B0027" w:rsidRDefault="00B54D5F" w:rsidP="00ED6B76">
      <w:pPr>
        <w:pStyle w:val="Akapitzlist"/>
        <w:widowControl/>
        <w:numPr>
          <w:ilvl w:val="0"/>
          <w:numId w:val="17"/>
        </w:numPr>
        <w:autoSpaceDE/>
        <w:autoSpaceDN/>
        <w:spacing w:line="276" w:lineRule="auto"/>
        <w:ind w:left="284" w:hanging="426"/>
        <w:contextualSpacing/>
        <w:jc w:val="both"/>
        <w:rPr>
          <w:strike/>
        </w:rPr>
      </w:pPr>
      <w:r w:rsidRPr="000B0027">
        <w:t xml:space="preserve">W przypadku uzyskania informacji na temat nieprawidłowości dotyczących realizacji usług rozwojowych, </w:t>
      </w:r>
      <w:r w:rsidRPr="000B0027">
        <w:rPr>
          <w:lang w:eastAsia="zh-CN"/>
        </w:rPr>
        <w:t xml:space="preserve">MARR S.A. </w:t>
      </w:r>
      <w:r w:rsidRPr="000B0027">
        <w:t>zastrzega sobie prawo do prze</w:t>
      </w:r>
      <w:r w:rsidR="00425B2D">
        <w:t>kazania stosownej informacji do </w:t>
      </w:r>
      <w:r w:rsidRPr="000B0027">
        <w:t xml:space="preserve">Administratora Bazy Usług Rozwojowych i/lub certyfikującej danego </w:t>
      </w:r>
      <w:r w:rsidR="001E34F4" w:rsidRPr="000B0027">
        <w:t>u</w:t>
      </w:r>
      <w:r w:rsidRPr="000B0027">
        <w:t xml:space="preserve">sługodawcę jednostki. </w:t>
      </w:r>
    </w:p>
    <w:p w14:paraId="3F73AB4C" w14:textId="77777777" w:rsidR="00B54D5F" w:rsidRPr="000B0027" w:rsidRDefault="00B54D5F" w:rsidP="00ED6B76">
      <w:pPr>
        <w:pStyle w:val="Akapitzlist"/>
        <w:widowControl/>
        <w:numPr>
          <w:ilvl w:val="0"/>
          <w:numId w:val="17"/>
        </w:numPr>
        <w:autoSpaceDE/>
        <w:autoSpaceDN/>
        <w:spacing w:after="240" w:line="276" w:lineRule="auto"/>
        <w:ind w:left="284" w:hanging="426"/>
        <w:contextualSpacing/>
        <w:jc w:val="both"/>
      </w:pPr>
      <w:r w:rsidRPr="000B0027">
        <w:t xml:space="preserve">Usługodawca przyjmuje do wiadomości, że na czas przeprowadzonej kontroli planowej lub doraźnej każdorazowo mogą zostać wstrzymane płatności z tytułu zrealizowanych w ramach projektu usług rozwojowych, do czasu pozytywnego zakończenia kontroli. </w:t>
      </w:r>
    </w:p>
    <w:p w14:paraId="537F6870" w14:textId="30A3D030" w:rsidR="00B54D5F" w:rsidRPr="000B0027" w:rsidRDefault="00B54D5F" w:rsidP="00ED6B76">
      <w:pPr>
        <w:pStyle w:val="Akapitzlist"/>
        <w:widowControl/>
        <w:numPr>
          <w:ilvl w:val="0"/>
          <w:numId w:val="17"/>
        </w:numPr>
        <w:autoSpaceDE/>
        <w:autoSpaceDN/>
        <w:spacing w:after="240" w:line="276" w:lineRule="auto"/>
        <w:ind w:left="284" w:hanging="426"/>
        <w:contextualSpacing/>
        <w:jc w:val="both"/>
      </w:pPr>
      <w:r w:rsidRPr="000B0027">
        <w:t xml:space="preserve">W przypadku stwierdzenia niewywiązywania się </w:t>
      </w:r>
      <w:r w:rsidR="001E34F4" w:rsidRPr="000B0027">
        <w:t>u</w:t>
      </w:r>
      <w:r w:rsidRPr="000B0027">
        <w:t>sługodawcy z obowiązków nałożonych niniejszym Regulaminem</w:t>
      </w:r>
      <w:r w:rsidR="00ED6B76" w:rsidRPr="000B0027">
        <w:t>, w szczególności w przypadku odmowy przeprowadzenia kontroli</w:t>
      </w:r>
      <w:r w:rsidRPr="000B0027">
        <w:t xml:space="preserve"> lub usunięcia z BUR, </w:t>
      </w:r>
      <w:r w:rsidRPr="000B0027">
        <w:rPr>
          <w:lang w:eastAsia="zh-CN"/>
        </w:rPr>
        <w:t xml:space="preserve">MARR S.A. </w:t>
      </w:r>
      <w:r w:rsidRPr="000B0027">
        <w:t xml:space="preserve">zastrzega sobie prawo do nierozliczenia usługi rozwojowej </w:t>
      </w:r>
      <w:r w:rsidR="001E34F4" w:rsidRPr="000B0027">
        <w:t>r</w:t>
      </w:r>
      <w:r w:rsidRPr="000B0027">
        <w:t xml:space="preserve">ealizowanej przez </w:t>
      </w:r>
      <w:r w:rsidR="001E34F4" w:rsidRPr="000B0027">
        <w:t>u</w:t>
      </w:r>
      <w:r w:rsidRPr="000B0027">
        <w:t>sługodawcę.</w:t>
      </w:r>
    </w:p>
    <w:p w14:paraId="46ED7983" w14:textId="77777777" w:rsidR="00ED6B76" w:rsidRPr="000B0027" w:rsidRDefault="00ED6B76" w:rsidP="00B54D5F">
      <w:pPr>
        <w:pStyle w:val="Default"/>
        <w:jc w:val="center"/>
        <w:rPr>
          <w:b/>
          <w:sz w:val="22"/>
          <w:szCs w:val="22"/>
        </w:rPr>
      </w:pPr>
    </w:p>
    <w:p w14:paraId="10E438AD" w14:textId="77777777" w:rsidR="00B54D5F" w:rsidRPr="000B0027" w:rsidRDefault="00B54D5F" w:rsidP="00B54D5F">
      <w:pPr>
        <w:pStyle w:val="Default"/>
        <w:jc w:val="center"/>
        <w:rPr>
          <w:sz w:val="22"/>
          <w:szCs w:val="22"/>
        </w:rPr>
      </w:pPr>
      <w:r w:rsidRPr="000B0027">
        <w:rPr>
          <w:b/>
          <w:sz w:val="22"/>
          <w:szCs w:val="22"/>
        </w:rPr>
        <w:t>§ 6</w:t>
      </w:r>
    </w:p>
    <w:p w14:paraId="1E5F024B" w14:textId="77777777" w:rsidR="00B54D5F" w:rsidRPr="000B0027" w:rsidRDefault="00B54D5F" w:rsidP="00B54D5F">
      <w:pPr>
        <w:pStyle w:val="Default"/>
        <w:jc w:val="center"/>
        <w:rPr>
          <w:b/>
          <w:sz w:val="22"/>
          <w:szCs w:val="22"/>
        </w:rPr>
      </w:pPr>
      <w:r w:rsidRPr="000B0027">
        <w:rPr>
          <w:b/>
          <w:sz w:val="22"/>
          <w:szCs w:val="22"/>
        </w:rPr>
        <w:t>Dokumentowanie działań kontrolnych</w:t>
      </w:r>
    </w:p>
    <w:p w14:paraId="3DE7A8A0" w14:textId="77777777" w:rsidR="00B54D5F" w:rsidRPr="000B0027" w:rsidRDefault="00B54D5F" w:rsidP="00B54D5F">
      <w:pPr>
        <w:pStyle w:val="Default"/>
        <w:jc w:val="center"/>
        <w:rPr>
          <w:b/>
          <w:sz w:val="22"/>
          <w:szCs w:val="22"/>
        </w:rPr>
      </w:pPr>
    </w:p>
    <w:p w14:paraId="7B3CD07F" w14:textId="1BB4CDA3" w:rsidR="00B54D5F" w:rsidRPr="000B0027" w:rsidRDefault="00B54D5F" w:rsidP="00B54D5F">
      <w:pPr>
        <w:pStyle w:val="Default"/>
        <w:numPr>
          <w:ilvl w:val="0"/>
          <w:numId w:val="27"/>
        </w:numPr>
        <w:ind w:left="426" w:hanging="426"/>
        <w:jc w:val="both"/>
        <w:rPr>
          <w:sz w:val="22"/>
          <w:szCs w:val="22"/>
        </w:rPr>
      </w:pPr>
      <w:r w:rsidRPr="000B0027">
        <w:rPr>
          <w:sz w:val="22"/>
          <w:szCs w:val="22"/>
        </w:rPr>
        <w:t xml:space="preserve">Z przeprowadzonej kontroli, w tym wizyty monitorującej MARR S.A., ma obowiązek sporządzić protokół w zakresie przedmiotu kontroli i jej wyników ze wskazaniem działań naprawczych, które </w:t>
      </w:r>
      <w:r w:rsidR="001E34F4" w:rsidRPr="000B0027">
        <w:rPr>
          <w:sz w:val="22"/>
          <w:szCs w:val="22"/>
        </w:rPr>
        <w:t>u</w:t>
      </w:r>
      <w:r w:rsidRPr="000B0027">
        <w:rPr>
          <w:sz w:val="22"/>
          <w:szCs w:val="22"/>
        </w:rPr>
        <w:t xml:space="preserve">sługodawca musi podjąć w celu usunięcia ewentualnych nieprawidłowości w wykorzystaniu środków finansowych przekazanych w ramach </w:t>
      </w:r>
      <w:r w:rsidR="001E34F4" w:rsidRPr="000B0027">
        <w:rPr>
          <w:sz w:val="22"/>
          <w:szCs w:val="22"/>
        </w:rPr>
        <w:t>p</w:t>
      </w:r>
      <w:r w:rsidRPr="000B0027">
        <w:rPr>
          <w:sz w:val="22"/>
          <w:szCs w:val="22"/>
        </w:rPr>
        <w:t xml:space="preserve">rojektu. W protokole muszą się znaleźć co najmniej informacje na temat stwierdzonego stanu faktycznego oraz zgodności realizacji usługi z niniejszym Regulaminem oraz standardem określonym w BUR w Kracie Usługi. </w:t>
      </w:r>
    </w:p>
    <w:p w14:paraId="67179830" w14:textId="0241A1CA" w:rsidR="00B54D5F" w:rsidRPr="000B0027" w:rsidRDefault="00B54D5F" w:rsidP="00B54D5F">
      <w:pPr>
        <w:pStyle w:val="Default"/>
        <w:numPr>
          <w:ilvl w:val="0"/>
          <w:numId w:val="27"/>
        </w:numPr>
        <w:ind w:left="426" w:hanging="426"/>
        <w:jc w:val="both"/>
        <w:rPr>
          <w:sz w:val="22"/>
          <w:szCs w:val="22"/>
        </w:rPr>
      </w:pPr>
      <w:r w:rsidRPr="000B0027">
        <w:rPr>
          <w:sz w:val="22"/>
          <w:szCs w:val="22"/>
        </w:rPr>
        <w:t xml:space="preserve">MARR S.A. przedstawia </w:t>
      </w:r>
      <w:r w:rsidR="001E34F4" w:rsidRPr="000B0027">
        <w:rPr>
          <w:sz w:val="22"/>
          <w:szCs w:val="22"/>
        </w:rPr>
        <w:t>u</w:t>
      </w:r>
      <w:r w:rsidRPr="000B0027">
        <w:rPr>
          <w:sz w:val="22"/>
          <w:szCs w:val="22"/>
        </w:rPr>
        <w:t xml:space="preserve">sługodawcy do wglądu protokół w terminie do 14 dni kalendarzowych od dnia przeprowadzenia kontroli lub wizyty monitorującej. </w:t>
      </w:r>
    </w:p>
    <w:p w14:paraId="0F36539D" w14:textId="2AE87603" w:rsidR="00B54D5F" w:rsidRPr="000B0027" w:rsidRDefault="00B54D5F" w:rsidP="00B54D5F">
      <w:pPr>
        <w:pStyle w:val="Default"/>
        <w:numPr>
          <w:ilvl w:val="0"/>
          <w:numId w:val="27"/>
        </w:numPr>
        <w:ind w:left="426" w:hanging="426"/>
        <w:jc w:val="both"/>
        <w:rPr>
          <w:bCs/>
          <w:sz w:val="22"/>
          <w:szCs w:val="22"/>
        </w:rPr>
      </w:pPr>
      <w:r w:rsidRPr="000B0027">
        <w:rPr>
          <w:sz w:val="22"/>
          <w:szCs w:val="22"/>
        </w:rPr>
        <w:t xml:space="preserve">Termin, o którym mowa w ust. 2, może zostać wydłużony w przypadkach, gdy konieczne będzie uzyskanie dodatkowej interpretacji od właściwych władz w celu jednoznacznego zinterpretowania prawidłowości wykorzystania bonów rozwojowych. Po otrzymaniu interpretacji MARR S.A. niezwłocznie poinformuje </w:t>
      </w:r>
      <w:r w:rsidR="0091358D" w:rsidRPr="000B0027">
        <w:rPr>
          <w:bCs/>
          <w:sz w:val="22"/>
          <w:szCs w:val="22"/>
        </w:rPr>
        <w:t>u</w:t>
      </w:r>
      <w:r w:rsidRPr="000B0027">
        <w:rPr>
          <w:bCs/>
          <w:sz w:val="22"/>
          <w:szCs w:val="22"/>
        </w:rPr>
        <w:t xml:space="preserve">sługodawcę </w:t>
      </w:r>
      <w:r w:rsidRPr="000B0027">
        <w:rPr>
          <w:sz w:val="22"/>
          <w:szCs w:val="22"/>
        </w:rPr>
        <w:t>o wynikach uzyskanej interpretacji.</w:t>
      </w:r>
    </w:p>
    <w:p w14:paraId="32327046" w14:textId="77777777" w:rsidR="00B54D5F" w:rsidRPr="000B0027" w:rsidRDefault="00B54D5F" w:rsidP="00B54D5F">
      <w:pPr>
        <w:pStyle w:val="Default"/>
        <w:jc w:val="center"/>
        <w:rPr>
          <w:b/>
          <w:sz w:val="22"/>
          <w:szCs w:val="22"/>
        </w:rPr>
      </w:pPr>
    </w:p>
    <w:p w14:paraId="5409F6C9" w14:textId="77777777" w:rsidR="00B54D5F" w:rsidRPr="000B0027" w:rsidRDefault="00B54D5F" w:rsidP="00B54D5F">
      <w:pPr>
        <w:pStyle w:val="Default"/>
        <w:jc w:val="center"/>
        <w:rPr>
          <w:b/>
          <w:sz w:val="22"/>
          <w:szCs w:val="22"/>
        </w:rPr>
      </w:pPr>
      <w:r w:rsidRPr="000B0027">
        <w:rPr>
          <w:b/>
          <w:sz w:val="22"/>
          <w:szCs w:val="22"/>
        </w:rPr>
        <w:t>§ 7</w:t>
      </w:r>
    </w:p>
    <w:p w14:paraId="1D4D5031" w14:textId="77777777" w:rsidR="00B54D5F" w:rsidRPr="000B0027" w:rsidRDefault="00B54D5F" w:rsidP="00B54D5F">
      <w:pPr>
        <w:pStyle w:val="Default"/>
        <w:jc w:val="center"/>
        <w:rPr>
          <w:sz w:val="22"/>
          <w:szCs w:val="22"/>
        </w:rPr>
      </w:pPr>
    </w:p>
    <w:p w14:paraId="3A0A331B" w14:textId="33040A57" w:rsidR="00B54D5F" w:rsidRPr="000B0027" w:rsidRDefault="00B54D5F" w:rsidP="00B54D5F">
      <w:pPr>
        <w:pStyle w:val="Default"/>
        <w:numPr>
          <w:ilvl w:val="0"/>
          <w:numId w:val="28"/>
        </w:numPr>
        <w:ind w:left="426" w:hanging="426"/>
        <w:jc w:val="both"/>
        <w:rPr>
          <w:sz w:val="22"/>
          <w:szCs w:val="22"/>
        </w:rPr>
      </w:pPr>
      <w:r w:rsidRPr="000B0027">
        <w:rPr>
          <w:sz w:val="22"/>
          <w:szCs w:val="22"/>
        </w:rPr>
        <w:t xml:space="preserve">Usługodawca może zgłosić w formie pisemnej MARR S.A. dodatkowe wyjaśnienia lub umotywowane zastrzeżenia do zawartych w protokole stwierdzeń w terminie 7 dni kalendarzowych od dnia otrzymania protokołu. Jeżeli w tym terminie </w:t>
      </w:r>
      <w:r w:rsidR="0091358D" w:rsidRPr="000B0027">
        <w:rPr>
          <w:sz w:val="22"/>
          <w:szCs w:val="22"/>
        </w:rPr>
        <w:t>u</w:t>
      </w:r>
      <w:r w:rsidRPr="000B0027">
        <w:rPr>
          <w:sz w:val="22"/>
          <w:szCs w:val="22"/>
        </w:rPr>
        <w:t xml:space="preserve">sługodawca nie złoży zastrzeżeń, wydana informacja pokontrolna staje się ostateczna. </w:t>
      </w:r>
    </w:p>
    <w:p w14:paraId="34575B57" w14:textId="12B9629E" w:rsidR="00B54D5F" w:rsidRPr="000B0027" w:rsidRDefault="00B54D5F" w:rsidP="00B54D5F">
      <w:pPr>
        <w:pStyle w:val="Default"/>
        <w:numPr>
          <w:ilvl w:val="0"/>
          <w:numId w:val="28"/>
        </w:numPr>
        <w:ind w:left="426" w:hanging="426"/>
        <w:jc w:val="both"/>
        <w:rPr>
          <w:sz w:val="22"/>
          <w:szCs w:val="22"/>
        </w:rPr>
      </w:pPr>
      <w:r w:rsidRPr="000B0027">
        <w:rPr>
          <w:sz w:val="22"/>
          <w:szCs w:val="22"/>
        </w:rPr>
        <w:t>W razie zgłoszenia dodatkowych wyjaśnień lub zastrzeżeń, MARR S.A. dokonuje ich analizy i przedstawia w protokole swoje stanowisko zarówno w przypadku s</w:t>
      </w:r>
      <w:r w:rsidR="00CF0131" w:rsidRPr="000B0027">
        <w:rPr>
          <w:sz w:val="22"/>
          <w:szCs w:val="22"/>
        </w:rPr>
        <w:t>twierdzenia zasadności, jak i w </w:t>
      </w:r>
      <w:r w:rsidRPr="000B0027">
        <w:rPr>
          <w:sz w:val="22"/>
          <w:szCs w:val="22"/>
        </w:rPr>
        <w:t>razie nieuwzględnienia w całości lub części wyjaśnień lub zastrzeżeń wniesionych przez Usługodawcę.</w:t>
      </w:r>
    </w:p>
    <w:p w14:paraId="1657EBDB" w14:textId="472A8199" w:rsidR="00B54D5F" w:rsidRPr="000B0027" w:rsidRDefault="00B54D5F" w:rsidP="00B54D5F">
      <w:pPr>
        <w:pStyle w:val="Default"/>
        <w:numPr>
          <w:ilvl w:val="0"/>
          <w:numId w:val="28"/>
        </w:numPr>
        <w:ind w:left="426" w:hanging="426"/>
        <w:jc w:val="both"/>
        <w:rPr>
          <w:sz w:val="22"/>
          <w:szCs w:val="22"/>
        </w:rPr>
      </w:pPr>
      <w:r w:rsidRPr="000B0027">
        <w:rPr>
          <w:sz w:val="22"/>
          <w:szCs w:val="22"/>
        </w:rPr>
        <w:lastRenderedPageBreak/>
        <w:t xml:space="preserve">MARR S.A. przekazuje protokół w terminie 14 dni kalendarzowych od dnia otrzymania dodatkowych zastrzeżeń lub wyjaśnień od </w:t>
      </w:r>
      <w:r w:rsidR="0091358D" w:rsidRPr="000B0027">
        <w:rPr>
          <w:sz w:val="22"/>
          <w:szCs w:val="22"/>
        </w:rPr>
        <w:t>u</w:t>
      </w:r>
      <w:r w:rsidRPr="000B0027">
        <w:rPr>
          <w:sz w:val="22"/>
          <w:szCs w:val="22"/>
        </w:rPr>
        <w:t xml:space="preserve">sługodawcy. </w:t>
      </w:r>
    </w:p>
    <w:p w14:paraId="45FFDC77" w14:textId="49F755BD" w:rsidR="00B54D5F" w:rsidRPr="000B0027" w:rsidRDefault="00B54D5F" w:rsidP="00B54D5F">
      <w:pPr>
        <w:pStyle w:val="Default"/>
        <w:numPr>
          <w:ilvl w:val="0"/>
          <w:numId w:val="28"/>
        </w:numPr>
        <w:ind w:left="426" w:hanging="426"/>
        <w:jc w:val="both"/>
        <w:rPr>
          <w:sz w:val="22"/>
          <w:szCs w:val="22"/>
        </w:rPr>
      </w:pPr>
      <w:r w:rsidRPr="000B0027">
        <w:rPr>
          <w:sz w:val="22"/>
          <w:szCs w:val="22"/>
        </w:rPr>
        <w:t xml:space="preserve">Protokół podpisują </w:t>
      </w:r>
      <w:r w:rsidR="0091358D" w:rsidRPr="000B0027">
        <w:rPr>
          <w:sz w:val="22"/>
          <w:szCs w:val="22"/>
        </w:rPr>
        <w:t>u</w:t>
      </w:r>
      <w:r w:rsidRPr="000B0027">
        <w:rPr>
          <w:sz w:val="22"/>
          <w:szCs w:val="22"/>
        </w:rPr>
        <w:t xml:space="preserve">sługodawca, </w:t>
      </w:r>
      <w:r w:rsidR="0091358D" w:rsidRPr="000B0027">
        <w:rPr>
          <w:sz w:val="22"/>
          <w:szCs w:val="22"/>
        </w:rPr>
        <w:t>p</w:t>
      </w:r>
      <w:r w:rsidRPr="000B0027">
        <w:rPr>
          <w:sz w:val="22"/>
          <w:szCs w:val="22"/>
        </w:rPr>
        <w:t xml:space="preserve">racownik MARR S.A. prowadzący kontrolę oraz osoba uprawniona do reprezentowania MARR S.A. Podpisy składane są na ostatniej stronie. </w:t>
      </w:r>
    </w:p>
    <w:p w14:paraId="03B9AC02" w14:textId="3D6E0B84" w:rsidR="00B54D5F" w:rsidRPr="000B0027" w:rsidRDefault="00B54D5F" w:rsidP="00B54D5F">
      <w:pPr>
        <w:pStyle w:val="Default"/>
        <w:numPr>
          <w:ilvl w:val="0"/>
          <w:numId w:val="28"/>
        </w:numPr>
        <w:ind w:left="426"/>
        <w:jc w:val="both"/>
        <w:rPr>
          <w:sz w:val="22"/>
          <w:szCs w:val="22"/>
        </w:rPr>
      </w:pPr>
      <w:bookmarkStart w:id="5" w:name="_Hlk17203640"/>
      <w:r w:rsidRPr="000B0027">
        <w:rPr>
          <w:sz w:val="22"/>
          <w:szCs w:val="22"/>
        </w:rPr>
        <w:t xml:space="preserve">W przypadku kontroli </w:t>
      </w:r>
      <w:r w:rsidR="0091358D" w:rsidRPr="000B0027">
        <w:rPr>
          <w:sz w:val="22"/>
          <w:szCs w:val="22"/>
        </w:rPr>
        <w:t>u</w:t>
      </w:r>
      <w:r w:rsidRPr="000B0027">
        <w:rPr>
          <w:sz w:val="22"/>
          <w:szCs w:val="22"/>
        </w:rPr>
        <w:t xml:space="preserve">sługodawcy </w:t>
      </w:r>
      <w:bookmarkEnd w:id="5"/>
      <w:r w:rsidRPr="000B0027">
        <w:rPr>
          <w:sz w:val="22"/>
          <w:szCs w:val="22"/>
        </w:rPr>
        <w:t xml:space="preserve">protokół zostaje sporządzony w dwóch lub trzech jednobrzmiących egzemplarzach. Dwa egzemplarze są przekazywane </w:t>
      </w:r>
      <w:r w:rsidR="0091358D" w:rsidRPr="000B0027">
        <w:rPr>
          <w:sz w:val="22"/>
          <w:szCs w:val="22"/>
        </w:rPr>
        <w:t>u</w:t>
      </w:r>
      <w:r w:rsidRPr="000B0027">
        <w:rPr>
          <w:sz w:val="22"/>
          <w:szCs w:val="22"/>
        </w:rPr>
        <w:t xml:space="preserve">sługodawcy </w:t>
      </w:r>
      <w:bookmarkStart w:id="6" w:name="_Hlk17203907"/>
      <w:r w:rsidRPr="000B0027">
        <w:rPr>
          <w:sz w:val="22"/>
          <w:szCs w:val="22"/>
        </w:rPr>
        <w:t>i osobie świadczącej usługę rozwojową</w:t>
      </w:r>
      <w:bookmarkEnd w:id="6"/>
      <w:r w:rsidRPr="000B0027">
        <w:rPr>
          <w:sz w:val="22"/>
          <w:szCs w:val="22"/>
        </w:rPr>
        <w:t xml:space="preserve">, a trzeci zostaje dołączony do dokumentacji projektowej. </w:t>
      </w:r>
    </w:p>
    <w:p w14:paraId="050875FD" w14:textId="5F073AA7" w:rsidR="00B54D5F" w:rsidRPr="000B0027" w:rsidRDefault="00B54D5F" w:rsidP="00B54D5F">
      <w:pPr>
        <w:pStyle w:val="Default"/>
        <w:numPr>
          <w:ilvl w:val="0"/>
          <w:numId w:val="28"/>
        </w:numPr>
        <w:ind w:left="426"/>
        <w:jc w:val="both"/>
        <w:rPr>
          <w:sz w:val="22"/>
          <w:szCs w:val="22"/>
        </w:rPr>
      </w:pPr>
      <w:r w:rsidRPr="000B0027">
        <w:rPr>
          <w:sz w:val="22"/>
          <w:szCs w:val="22"/>
        </w:rPr>
        <w:t xml:space="preserve">W przypadku odmowy podpisania przez </w:t>
      </w:r>
      <w:r w:rsidR="0091358D" w:rsidRPr="000B0027">
        <w:rPr>
          <w:sz w:val="22"/>
          <w:szCs w:val="22"/>
        </w:rPr>
        <w:t>u</w:t>
      </w:r>
      <w:r w:rsidRPr="000B0027">
        <w:rPr>
          <w:sz w:val="22"/>
          <w:szCs w:val="22"/>
        </w:rPr>
        <w:t>sługodawcę protokołu,</w:t>
      </w:r>
      <w:r w:rsidR="00CF0131" w:rsidRPr="000B0027">
        <w:rPr>
          <w:sz w:val="22"/>
          <w:szCs w:val="22"/>
        </w:rPr>
        <w:t xml:space="preserve"> MARR S.A. sporządza notatkę, a </w:t>
      </w:r>
      <w:r w:rsidRPr="000B0027">
        <w:rPr>
          <w:sz w:val="22"/>
          <w:szCs w:val="22"/>
        </w:rPr>
        <w:t>Usługodawca pisemnie uzasadnia odmowę podpisania protokołu.</w:t>
      </w:r>
    </w:p>
    <w:p w14:paraId="30A3134C" w14:textId="77777777" w:rsidR="00B54D5F" w:rsidRPr="000B0027" w:rsidRDefault="00B54D5F" w:rsidP="00B54D5F">
      <w:pPr>
        <w:adjustRightInd w:val="0"/>
        <w:jc w:val="center"/>
        <w:rPr>
          <w:b/>
        </w:rPr>
      </w:pPr>
    </w:p>
    <w:p w14:paraId="7B2820C6" w14:textId="77777777" w:rsidR="00B54D5F" w:rsidRPr="000B0027" w:rsidRDefault="00B54D5F" w:rsidP="00B54D5F">
      <w:pPr>
        <w:adjustRightInd w:val="0"/>
        <w:jc w:val="center"/>
        <w:rPr>
          <w:b/>
        </w:rPr>
      </w:pPr>
      <w:r w:rsidRPr="000B0027">
        <w:rPr>
          <w:b/>
        </w:rPr>
        <w:t>§ 8</w:t>
      </w:r>
    </w:p>
    <w:p w14:paraId="4D7E47C9" w14:textId="77777777" w:rsidR="00B54D5F" w:rsidRPr="000B0027" w:rsidRDefault="00B54D5F" w:rsidP="00B54D5F">
      <w:pPr>
        <w:jc w:val="center"/>
        <w:rPr>
          <w:b/>
        </w:rPr>
      </w:pPr>
      <w:r w:rsidRPr="000B0027">
        <w:rPr>
          <w:b/>
        </w:rPr>
        <w:t>Postanowienia końcowe</w:t>
      </w:r>
    </w:p>
    <w:p w14:paraId="0094CD9A" w14:textId="77777777" w:rsidR="00B54D5F" w:rsidRPr="000B0027" w:rsidRDefault="00B54D5F" w:rsidP="00B54D5F">
      <w:pPr>
        <w:jc w:val="center"/>
        <w:rPr>
          <w:b/>
        </w:rPr>
      </w:pPr>
    </w:p>
    <w:p w14:paraId="67A04FC7" w14:textId="1A537CF9" w:rsidR="00B54D5F" w:rsidRPr="000B0027" w:rsidRDefault="00B54D5F" w:rsidP="00B54D5F">
      <w:pPr>
        <w:pStyle w:val="Akapitzlist"/>
        <w:widowControl/>
        <w:numPr>
          <w:ilvl w:val="0"/>
          <w:numId w:val="22"/>
        </w:numPr>
        <w:autoSpaceDE/>
        <w:autoSpaceDN/>
        <w:spacing w:after="240" w:line="276" w:lineRule="auto"/>
        <w:contextualSpacing/>
        <w:jc w:val="both"/>
      </w:pPr>
      <w:r w:rsidRPr="000B0027">
        <w:t xml:space="preserve">Regulamin obowiązuje </w:t>
      </w:r>
      <w:r w:rsidR="0091358D" w:rsidRPr="000B0027">
        <w:t>od dnia</w:t>
      </w:r>
      <w:r w:rsidRPr="000B0027">
        <w:t xml:space="preserve">………………….r. </w:t>
      </w:r>
    </w:p>
    <w:p w14:paraId="0C218666" w14:textId="795AE0FB" w:rsidR="00B54D5F" w:rsidRPr="000B0027" w:rsidRDefault="00B54D5F" w:rsidP="00B54D5F">
      <w:pPr>
        <w:pStyle w:val="Akapitzlist"/>
        <w:widowControl/>
        <w:numPr>
          <w:ilvl w:val="0"/>
          <w:numId w:val="22"/>
        </w:numPr>
        <w:autoSpaceDE/>
        <w:autoSpaceDN/>
        <w:spacing w:after="240" w:line="276" w:lineRule="auto"/>
        <w:contextualSpacing/>
        <w:jc w:val="both"/>
      </w:pPr>
      <w:r w:rsidRPr="000B0027">
        <w:t xml:space="preserve">Ostateczna interpretacja niniejszego Regulaminu należy do MARR S.A. i jest wiążąca dla </w:t>
      </w:r>
      <w:r w:rsidR="0091358D" w:rsidRPr="000B0027">
        <w:t>u</w:t>
      </w:r>
      <w:r w:rsidRPr="000B0027">
        <w:t xml:space="preserve">sługodawcy. </w:t>
      </w:r>
    </w:p>
    <w:p w14:paraId="7D2DB4B8" w14:textId="708A91B7" w:rsidR="00B54D5F" w:rsidRPr="000B0027" w:rsidRDefault="00B54D5F" w:rsidP="00ED6B76">
      <w:pPr>
        <w:pStyle w:val="Akapitzlist"/>
        <w:widowControl/>
        <w:numPr>
          <w:ilvl w:val="0"/>
          <w:numId w:val="22"/>
        </w:numPr>
        <w:autoSpaceDE/>
        <w:autoSpaceDN/>
        <w:spacing w:line="276" w:lineRule="auto"/>
        <w:ind w:left="284" w:hanging="284"/>
        <w:contextualSpacing/>
        <w:jc w:val="both"/>
      </w:pPr>
      <w:r w:rsidRPr="000B0027">
        <w:t>MARR S.A. zastrzega sobie prawo zmiany niniejszego Regul</w:t>
      </w:r>
      <w:r w:rsidR="00CF0131" w:rsidRPr="000B0027">
        <w:t>aminu</w:t>
      </w:r>
      <w:r w:rsidR="00ED6B76" w:rsidRPr="000B0027">
        <w:t>, w szczególności w przypadku zmiany przepisów prawa i uregulowań dotyczących Proj</w:t>
      </w:r>
      <w:r w:rsidR="00EF42E0" w:rsidRPr="000B0027">
        <w:t>e</w:t>
      </w:r>
      <w:r w:rsidR="00ED6B76" w:rsidRPr="000B0027">
        <w:t>ktu</w:t>
      </w:r>
      <w:r w:rsidR="00CF0131" w:rsidRPr="000B0027">
        <w:t>. Usługodawca o zmianach w </w:t>
      </w:r>
      <w:r w:rsidRPr="000B0027">
        <w:t xml:space="preserve">Regulaminie zostanie poinformowany w ramach funkcjonalności systemu </w:t>
      </w:r>
      <w:proofErr w:type="spellStart"/>
      <w:r w:rsidRPr="000B0027">
        <w:t>mbon</w:t>
      </w:r>
      <w:proofErr w:type="spellEnd"/>
      <w:r w:rsidR="00ED6B76" w:rsidRPr="000B0027">
        <w:t>,</w:t>
      </w:r>
      <w:r w:rsidRPr="000B0027">
        <w:t xml:space="preserve"> tj. od dnia ogłoszenia w systemie mbon nowej wersji Regulaminu. Brak akceptacji zmian przedmiotowego regulaminu będzie skutkował brakiem możliwości dalszego świadczenia nowych usług w ramach projek</w:t>
      </w:r>
      <w:r w:rsidR="00ED6B76" w:rsidRPr="000B0027">
        <w:t>tu, po dniu wejścia w życie zmia</w:t>
      </w:r>
      <w:r w:rsidRPr="000B0027">
        <w:t xml:space="preserve">n w przedmiotowym Regulaminie. </w:t>
      </w:r>
    </w:p>
    <w:p w14:paraId="4DA5B784" w14:textId="0E622473" w:rsidR="00EF42E0" w:rsidRPr="000B0027" w:rsidRDefault="00EF42E0" w:rsidP="005E37AB">
      <w:pPr>
        <w:pStyle w:val="Akapitzlist"/>
        <w:widowControl/>
        <w:numPr>
          <w:ilvl w:val="0"/>
          <w:numId w:val="22"/>
        </w:numPr>
        <w:autoSpaceDE/>
        <w:autoSpaceDN/>
        <w:spacing w:line="276" w:lineRule="auto"/>
        <w:ind w:left="284" w:hanging="284"/>
        <w:contextualSpacing/>
        <w:jc w:val="both"/>
      </w:pPr>
      <w:r w:rsidRPr="000B0027">
        <w:t xml:space="preserve">W </w:t>
      </w:r>
      <w:r w:rsidR="005E37AB" w:rsidRPr="000B0027">
        <w:t>przypadku zmian dotyczących Bazy</w:t>
      </w:r>
      <w:r w:rsidRPr="000B0027">
        <w:t xml:space="preserve"> Usług Rozwojowych wprowadzonych przez Administratora BUR, </w:t>
      </w:r>
      <w:r w:rsidR="005E37AB" w:rsidRPr="000B0027">
        <w:t xml:space="preserve">nie zależnie od MARR S.A., </w:t>
      </w:r>
      <w:r w:rsidRPr="000B0027">
        <w:t xml:space="preserve">zmiany te </w:t>
      </w:r>
      <w:r w:rsidR="005E37AB" w:rsidRPr="000B0027">
        <w:t>obowiązywać będą</w:t>
      </w:r>
      <w:r w:rsidRPr="000B0027">
        <w:t xml:space="preserve"> od chwili ich wprowadzenia, bez konieczności zmiany niniejszego Regulaminu. MARR S.A. w miarę konieczności będzie informować Usługodawcę o planowanych </w:t>
      </w:r>
      <w:r w:rsidR="005E37AB" w:rsidRPr="000B0027">
        <w:t>l</w:t>
      </w:r>
      <w:r w:rsidRPr="000B0027">
        <w:t>ub wprowadzonych zmianach w BUR.</w:t>
      </w:r>
    </w:p>
    <w:p w14:paraId="2BF9D99C" w14:textId="77777777" w:rsidR="00ED6B76" w:rsidRPr="000B0027" w:rsidRDefault="00ED6B76" w:rsidP="00ED6B76">
      <w:pPr>
        <w:pStyle w:val="Default"/>
        <w:numPr>
          <w:ilvl w:val="0"/>
          <w:numId w:val="22"/>
        </w:numPr>
        <w:ind w:left="284" w:hanging="284"/>
        <w:jc w:val="both"/>
        <w:rPr>
          <w:sz w:val="22"/>
          <w:szCs w:val="22"/>
        </w:rPr>
      </w:pPr>
      <w:r w:rsidRPr="000B0027">
        <w:rPr>
          <w:sz w:val="22"/>
          <w:szCs w:val="22"/>
        </w:rPr>
        <w:t xml:space="preserve">MARR S.A. nie ponosi odpowiedzialności za zmiany w ustawach, rozporządzeniach, wytycznych i innych aktach prawa krajowego lub unijnego dotyczących funduszy strukturalnych. MARR S.A. nie ponosi również odpowiedzialności za zalecenia i interpretacje postanowień umów oraz aktów prawa dokonywanych przez instytucje nadrzędne nad MARR S.A., a biorące udział w wydatkowaniu środków unijnych, które wiążą MARR S.A. i które mogą pojawić się w trakcie realizacji Projektu. Wprowadzone zmiany mogą skutkować zmianami postanowień niniejszego Regulaminu oraz innych dokumentów związanych z Projektem i nadania im mocy obowiązywania od dnia wprowadzenia zmian przez odpowiednie akty prawa lub instytucje. </w:t>
      </w:r>
    </w:p>
    <w:p w14:paraId="5D7AE37D" w14:textId="2B1DF750" w:rsidR="00B54D5F" w:rsidRPr="000B0027" w:rsidRDefault="00B54D5F" w:rsidP="00ED6B76">
      <w:pPr>
        <w:pStyle w:val="Default"/>
        <w:numPr>
          <w:ilvl w:val="0"/>
          <w:numId w:val="22"/>
        </w:numPr>
        <w:ind w:left="284" w:hanging="284"/>
        <w:jc w:val="both"/>
        <w:rPr>
          <w:sz w:val="22"/>
          <w:szCs w:val="22"/>
        </w:rPr>
      </w:pPr>
      <w:r w:rsidRPr="000B0027">
        <w:rPr>
          <w:sz w:val="22"/>
          <w:szCs w:val="22"/>
        </w:rPr>
        <w:t>W sprawach nieuregulowanych niniejszym Regulaminem mają zastosowanie zapisy dokumentów programowych w ramach Regionalnego Programu Operacyjnego Województwa Małopolskiego na lata 2014-2020 oraz przepisy Kodeksu Cywilnego oraz pozostałe Regulaminy dotyczące realizacji projektu „Małopolskie Bony Rozwojowe plus</w:t>
      </w:r>
      <w:r w:rsidR="00ED6B76" w:rsidRPr="000B0027">
        <w:rPr>
          <w:sz w:val="22"/>
          <w:szCs w:val="22"/>
        </w:rPr>
        <w:t>”.</w:t>
      </w:r>
    </w:p>
    <w:p w14:paraId="4E761AEF" w14:textId="77777777" w:rsidR="00B54D5F" w:rsidRPr="000B0027" w:rsidRDefault="00B54D5F" w:rsidP="00B54D5F">
      <w:pPr>
        <w:pStyle w:val="Akapitzlist"/>
        <w:widowControl/>
        <w:numPr>
          <w:ilvl w:val="0"/>
          <w:numId w:val="22"/>
        </w:numPr>
        <w:autoSpaceDE/>
        <w:autoSpaceDN/>
        <w:spacing w:after="240" w:line="276" w:lineRule="auto"/>
        <w:ind w:left="284" w:hanging="284"/>
        <w:contextualSpacing/>
        <w:jc w:val="both"/>
      </w:pPr>
      <w:r w:rsidRPr="000B0027">
        <w:t xml:space="preserve">Wszelkie spory pomiędzy stronami rozstrzygane będą przez sąd powszechny, właściwy miejscowo dla siedziby </w:t>
      </w:r>
      <w:r w:rsidRPr="000B0027">
        <w:rPr>
          <w:lang w:eastAsia="zh-CN"/>
        </w:rPr>
        <w:t>MARR S.A.</w:t>
      </w:r>
    </w:p>
    <w:p w14:paraId="5C88E67F" w14:textId="77777777" w:rsidR="00ED6B76" w:rsidRPr="00B54D5F" w:rsidRDefault="00ED6B76" w:rsidP="00B54D5F"/>
    <w:sectPr w:rsidR="00ED6B76" w:rsidRPr="00B54D5F">
      <w:headerReference w:type="default" r:id="rId11"/>
      <w:type w:val="continuous"/>
      <w:pgSz w:w="11900" w:h="16850"/>
      <w:pgMar w:top="1560" w:right="800" w:bottom="280" w:left="78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4EE49B" w15:done="0"/>
  <w15:commentEx w15:paraId="1A4328A1" w15:done="0"/>
  <w15:commentEx w15:paraId="1B1389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C316" w16cex:dateUtc="2020-03-26T23:11:00Z"/>
  <w16cex:commentExtensible w16cex:durableId="2227C78D" w16cex:dateUtc="2020-03-26T23:30:00Z"/>
  <w16cex:commentExtensible w16cex:durableId="2227C9B7" w16cex:dateUtc="2020-03-26T2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4EE49B" w16cid:durableId="2227C316"/>
  <w16cid:commentId w16cid:paraId="1A4328A1" w16cid:durableId="2227C78D"/>
  <w16cid:commentId w16cid:paraId="1B1389F1" w16cid:durableId="2227C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B7CC" w14:textId="77777777" w:rsidR="003E78E9" w:rsidRDefault="003E78E9" w:rsidP="006B5D80">
      <w:r>
        <w:separator/>
      </w:r>
    </w:p>
  </w:endnote>
  <w:endnote w:type="continuationSeparator" w:id="0">
    <w:p w14:paraId="4D2B1156" w14:textId="77777777" w:rsidR="003E78E9" w:rsidRDefault="003E78E9" w:rsidP="006B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2616" w14:textId="77777777" w:rsidR="003E78E9" w:rsidRDefault="003E78E9" w:rsidP="006B5D80">
      <w:r>
        <w:separator/>
      </w:r>
    </w:p>
  </w:footnote>
  <w:footnote w:type="continuationSeparator" w:id="0">
    <w:p w14:paraId="3DC17930" w14:textId="77777777" w:rsidR="003E78E9" w:rsidRDefault="003E78E9" w:rsidP="006B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0A6B6" w14:textId="77777777" w:rsidR="001E34F4" w:rsidRDefault="001E34F4" w:rsidP="00715C2E">
    <w:pPr>
      <w:pStyle w:val="Nagwek"/>
      <w:jc w:val="center"/>
    </w:pPr>
    <w:r w:rsidRPr="001D2F0D">
      <w:rPr>
        <w:noProof/>
        <w:lang w:bidi="ar-SA"/>
      </w:rPr>
      <w:drawing>
        <wp:inline distT="0" distB="0" distL="0" distR="0" wp14:anchorId="290764F3" wp14:editId="1BB8779A">
          <wp:extent cx="5760720" cy="518795"/>
          <wp:effectExtent l="0" t="0" r="0" b="0"/>
          <wp:docPr id="39" name="Obraz 39" descr="Znak Funduszy Europejskich złożony z symbolu graficznego oraz nazwy Fundusze Europejskie Program Regionalny, znak barw Rzeczypospolitej Polskiej złożony z symbolu graficznego oraz nazwy Rzeczpospolita Polska, znak Województwa Małopolskiego złożony z symbolu graficznego oraz nazwy Małopolska, znak Unii Europejskiej złoz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d:\Users\rwasik\Deskt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1E"/>
    <w:multiLevelType w:val="hybridMultilevel"/>
    <w:tmpl w:val="917AA214"/>
    <w:lvl w:ilvl="0" w:tplc="04150017">
      <w:start w:val="1"/>
      <w:numFmt w:val="lowerLetter"/>
      <w:lvlText w:val="%1)"/>
      <w:lvlJc w:val="left"/>
      <w:pPr>
        <w:ind w:left="1068" w:hanging="360"/>
      </w:pPr>
    </w:lvl>
    <w:lvl w:ilvl="1" w:tplc="04150019">
      <w:start w:val="1"/>
      <w:numFmt w:val="decimal"/>
      <w:lvlText w:val="%2."/>
      <w:lvlJc w:val="left"/>
      <w:pPr>
        <w:tabs>
          <w:tab w:val="num" w:pos="2148"/>
        </w:tabs>
        <w:ind w:left="2148" w:hanging="360"/>
      </w:pPr>
    </w:lvl>
    <w:lvl w:ilvl="2" w:tplc="0415001B">
      <w:start w:val="1"/>
      <w:numFmt w:val="decimal"/>
      <w:lvlText w:val="%3."/>
      <w:lvlJc w:val="left"/>
      <w:pPr>
        <w:tabs>
          <w:tab w:val="num" w:pos="2868"/>
        </w:tabs>
        <w:ind w:left="2868" w:hanging="360"/>
      </w:pPr>
    </w:lvl>
    <w:lvl w:ilvl="3" w:tplc="0415000F">
      <w:start w:val="1"/>
      <w:numFmt w:val="decimal"/>
      <w:lvlText w:val="%4."/>
      <w:lvlJc w:val="left"/>
      <w:pPr>
        <w:tabs>
          <w:tab w:val="num" w:pos="3588"/>
        </w:tabs>
        <w:ind w:left="3588" w:hanging="360"/>
      </w:pPr>
    </w:lvl>
    <w:lvl w:ilvl="4" w:tplc="04150019">
      <w:start w:val="1"/>
      <w:numFmt w:val="decimal"/>
      <w:lvlText w:val="%5."/>
      <w:lvlJc w:val="left"/>
      <w:pPr>
        <w:tabs>
          <w:tab w:val="num" w:pos="4308"/>
        </w:tabs>
        <w:ind w:left="4308" w:hanging="360"/>
      </w:pPr>
    </w:lvl>
    <w:lvl w:ilvl="5" w:tplc="0415001B">
      <w:start w:val="1"/>
      <w:numFmt w:val="decimal"/>
      <w:lvlText w:val="%6."/>
      <w:lvlJc w:val="left"/>
      <w:pPr>
        <w:tabs>
          <w:tab w:val="num" w:pos="5028"/>
        </w:tabs>
        <w:ind w:left="5028" w:hanging="360"/>
      </w:pPr>
    </w:lvl>
    <w:lvl w:ilvl="6" w:tplc="0415000F">
      <w:start w:val="1"/>
      <w:numFmt w:val="decimal"/>
      <w:lvlText w:val="%7."/>
      <w:lvlJc w:val="left"/>
      <w:pPr>
        <w:tabs>
          <w:tab w:val="num" w:pos="5748"/>
        </w:tabs>
        <w:ind w:left="5748" w:hanging="360"/>
      </w:pPr>
    </w:lvl>
    <w:lvl w:ilvl="7" w:tplc="04150019">
      <w:start w:val="1"/>
      <w:numFmt w:val="decimal"/>
      <w:lvlText w:val="%8."/>
      <w:lvlJc w:val="left"/>
      <w:pPr>
        <w:tabs>
          <w:tab w:val="num" w:pos="6468"/>
        </w:tabs>
        <w:ind w:left="6468" w:hanging="360"/>
      </w:pPr>
    </w:lvl>
    <w:lvl w:ilvl="8" w:tplc="0415001B">
      <w:start w:val="1"/>
      <w:numFmt w:val="decimal"/>
      <w:lvlText w:val="%9."/>
      <w:lvlJc w:val="left"/>
      <w:pPr>
        <w:tabs>
          <w:tab w:val="num" w:pos="7188"/>
        </w:tabs>
        <w:ind w:left="7188" w:hanging="360"/>
      </w:pPr>
    </w:lvl>
  </w:abstractNum>
  <w:abstractNum w:abstractNumId="1">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1152A5E"/>
    <w:multiLevelType w:val="hybridMultilevel"/>
    <w:tmpl w:val="05F2622E"/>
    <w:lvl w:ilvl="0" w:tplc="F904C166">
      <w:start w:val="1"/>
      <w:numFmt w:val="decimal"/>
      <w:lvlText w:val="%1."/>
      <w:lvlJc w:val="left"/>
      <w:pPr>
        <w:ind w:left="928" w:hanging="360"/>
      </w:pPr>
      <w:rPr>
        <w:b w:val="0"/>
        <w:strike w:val="0"/>
        <w:dstrike w:val="0"/>
        <w:u w:val="none"/>
        <w:effect w:val="none"/>
      </w:rPr>
    </w:lvl>
    <w:lvl w:ilvl="1" w:tplc="3F04CCAA">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0022C2"/>
    <w:multiLevelType w:val="hybridMultilevel"/>
    <w:tmpl w:val="5A64160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524746F"/>
    <w:multiLevelType w:val="hybridMultilevel"/>
    <w:tmpl w:val="90BE4AAE"/>
    <w:lvl w:ilvl="0" w:tplc="60587B52">
      <w:start w:val="1"/>
      <w:numFmt w:val="lowerLetter"/>
      <w:lvlText w:val="%1)"/>
      <w:lvlJc w:val="left"/>
      <w:pPr>
        <w:ind w:left="1641" w:hanging="360"/>
      </w:pPr>
      <w:rPr>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3F612F"/>
    <w:multiLevelType w:val="hybridMultilevel"/>
    <w:tmpl w:val="469073FA"/>
    <w:lvl w:ilvl="0" w:tplc="04150017">
      <w:start w:val="1"/>
      <w:numFmt w:val="lowerLetter"/>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D3D19BD"/>
    <w:multiLevelType w:val="hybridMultilevel"/>
    <w:tmpl w:val="90BE4AAE"/>
    <w:lvl w:ilvl="0" w:tplc="60587B52">
      <w:start w:val="1"/>
      <w:numFmt w:val="lowerLetter"/>
      <w:lvlText w:val="%1)"/>
      <w:lvlJc w:val="left"/>
      <w:pPr>
        <w:ind w:left="1641" w:hanging="360"/>
      </w:pPr>
      <w:rPr>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36B1618"/>
    <w:multiLevelType w:val="hybridMultilevel"/>
    <w:tmpl w:val="84F4167C"/>
    <w:lvl w:ilvl="0" w:tplc="659ED93A">
      <w:start w:val="1"/>
      <w:numFmt w:val="decimal"/>
      <w:lvlText w:val="%1."/>
      <w:lvlJc w:val="left"/>
      <w:pPr>
        <w:ind w:left="502" w:hanging="360"/>
      </w:pPr>
      <w:rPr>
        <w:rFonts w:ascii="Arial" w:eastAsia="Times New Roman" w:hAnsi="Arial" w:cs="Arial" w:hint="default"/>
        <w:strike w:val="0"/>
        <w:dstrike w:val="0"/>
        <w:u w:val="none"/>
        <w:effect w:val="none"/>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A15522"/>
    <w:multiLevelType w:val="hybridMultilevel"/>
    <w:tmpl w:val="96B2BD94"/>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8900B9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2D9120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6A66FC3"/>
    <w:multiLevelType w:val="hybridMultilevel"/>
    <w:tmpl w:val="092C5430"/>
    <w:lvl w:ilvl="0" w:tplc="477E2BC8">
      <w:start w:val="1"/>
      <w:numFmt w:val="decimal"/>
      <w:lvlText w:val="%1)"/>
      <w:lvlJc w:val="left"/>
      <w:pPr>
        <w:ind w:left="928"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B6E4326"/>
    <w:multiLevelType w:val="hybridMultilevel"/>
    <w:tmpl w:val="184C61DC"/>
    <w:lvl w:ilvl="0" w:tplc="3EE0959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1D563D5"/>
    <w:multiLevelType w:val="hybridMultilevel"/>
    <w:tmpl w:val="2AB6F0F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CE149340">
      <w:start w:val="8"/>
      <w:numFmt w:val="decimal"/>
      <w:lvlText w:val="%3"/>
      <w:lvlJc w:val="left"/>
      <w:pPr>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6CC01D7"/>
    <w:multiLevelType w:val="hybridMultilevel"/>
    <w:tmpl w:val="37C881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8C068C8"/>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0245D56"/>
    <w:multiLevelType w:val="hybridMultilevel"/>
    <w:tmpl w:val="DE0639D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4C5E799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B5C195E"/>
    <w:multiLevelType w:val="hybridMultilevel"/>
    <w:tmpl w:val="73060E86"/>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C57313B"/>
    <w:multiLevelType w:val="hybridMultilevel"/>
    <w:tmpl w:val="05F2622E"/>
    <w:lvl w:ilvl="0" w:tplc="F904C166">
      <w:start w:val="1"/>
      <w:numFmt w:val="decimal"/>
      <w:lvlText w:val="%1."/>
      <w:lvlJc w:val="left"/>
      <w:pPr>
        <w:ind w:left="360" w:hanging="360"/>
      </w:pPr>
      <w:rPr>
        <w:b w:val="0"/>
        <w:strike w:val="0"/>
        <w:dstrike w:val="0"/>
        <w:u w:val="none"/>
        <w:effect w:val="none"/>
      </w:rPr>
    </w:lvl>
    <w:lvl w:ilvl="1" w:tplc="3F04CCAA">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5C840DFA"/>
    <w:multiLevelType w:val="hybridMultilevel"/>
    <w:tmpl w:val="73BA0F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5D473A26"/>
    <w:multiLevelType w:val="hybridMultilevel"/>
    <w:tmpl w:val="6A2C8E4A"/>
    <w:lvl w:ilvl="0" w:tplc="8E6C5D2C">
      <w:start w:val="1"/>
      <w:numFmt w:val="decimal"/>
      <w:lvlText w:val="%1."/>
      <w:lvlJc w:val="left"/>
      <w:pPr>
        <w:ind w:left="928"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5EA707E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5FC2576F"/>
    <w:multiLevelType w:val="hybridMultilevel"/>
    <w:tmpl w:val="43101074"/>
    <w:lvl w:ilvl="0" w:tplc="8898A824">
      <w:start w:val="1"/>
      <w:numFmt w:val="decimal"/>
      <w:lvlText w:val="%1."/>
      <w:lvlJc w:val="left"/>
      <w:pPr>
        <w:ind w:left="360" w:hanging="360"/>
      </w:pPr>
      <w:rPr>
        <w:rFonts w:ascii="Arial" w:eastAsia="Times New Roman" w:hAnsi="Arial" w:cs="Arial" w:hint="default"/>
        <w:strike w:val="0"/>
        <w:dstrike w:val="0"/>
        <w:sz w:val="21"/>
        <w:szCs w:val="21"/>
        <w:u w:val="none"/>
        <w:effect w:val="none"/>
      </w:rPr>
    </w:lvl>
    <w:lvl w:ilvl="1" w:tplc="04150011">
      <w:start w:val="1"/>
      <w:numFmt w:val="decimal"/>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31863FC"/>
    <w:multiLevelType w:val="hybridMultilevel"/>
    <w:tmpl w:val="58A4FBC8"/>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687C1D7B"/>
    <w:multiLevelType w:val="hybridMultilevel"/>
    <w:tmpl w:val="629449E0"/>
    <w:lvl w:ilvl="0" w:tplc="04150017">
      <w:start w:val="1"/>
      <w:numFmt w:val="lowerLetter"/>
      <w:lvlText w:val="%1)"/>
      <w:lvlJc w:val="left"/>
      <w:pPr>
        <w:ind w:left="2361" w:hanging="360"/>
      </w:pPr>
      <w:rPr>
        <w:rFonts w:hint="default"/>
      </w:rPr>
    </w:lvl>
    <w:lvl w:ilvl="1" w:tplc="04150003" w:tentative="1">
      <w:start w:val="1"/>
      <w:numFmt w:val="bullet"/>
      <w:lvlText w:val="o"/>
      <w:lvlJc w:val="left"/>
      <w:pPr>
        <w:ind w:left="3081" w:hanging="360"/>
      </w:pPr>
      <w:rPr>
        <w:rFonts w:ascii="Courier New" w:hAnsi="Courier New" w:cs="Courier New" w:hint="default"/>
      </w:rPr>
    </w:lvl>
    <w:lvl w:ilvl="2" w:tplc="04150005" w:tentative="1">
      <w:start w:val="1"/>
      <w:numFmt w:val="bullet"/>
      <w:lvlText w:val=""/>
      <w:lvlJc w:val="left"/>
      <w:pPr>
        <w:ind w:left="3801" w:hanging="360"/>
      </w:pPr>
      <w:rPr>
        <w:rFonts w:ascii="Wingdings" w:hAnsi="Wingdings" w:hint="default"/>
      </w:rPr>
    </w:lvl>
    <w:lvl w:ilvl="3" w:tplc="04150001" w:tentative="1">
      <w:start w:val="1"/>
      <w:numFmt w:val="bullet"/>
      <w:lvlText w:val=""/>
      <w:lvlJc w:val="left"/>
      <w:pPr>
        <w:ind w:left="4521" w:hanging="360"/>
      </w:pPr>
      <w:rPr>
        <w:rFonts w:ascii="Symbol" w:hAnsi="Symbol" w:hint="default"/>
      </w:rPr>
    </w:lvl>
    <w:lvl w:ilvl="4" w:tplc="04150003" w:tentative="1">
      <w:start w:val="1"/>
      <w:numFmt w:val="bullet"/>
      <w:lvlText w:val="o"/>
      <w:lvlJc w:val="left"/>
      <w:pPr>
        <w:ind w:left="5241" w:hanging="360"/>
      </w:pPr>
      <w:rPr>
        <w:rFonts w:ascii="Courier New" w:hAnsi="Courier New" w:cs="Courier New" w:hint="default"/>
      </w:rPr>
    </w:lvl>
    <w:lvl w:ilvl="5" w:tplc="04150005" w:tentative="1">
      <w:start w:val="1"/>
      <w:numFmt w:val="bullet"/>
      <w:lvlText w:val=""/>
      <w:lvlJc w:val="left"/>
      <w:pPr>
        <w:ind w:left="5961" w:hanging="360"/>
      </w:pPr>
      <w:rPr>
        <w:rFonts w:ascii="Wingdings" w:hAnsi="Wingdings" w:hint="default"/>
      </w:rPr>
    </w:lvl>
    <w:lvl w:ilvl="6" w:tplc="04150001" w:tentative="1">
      <w:start w:val="1"/>
      <w:numFmt w:val="bullet"/>
      <w:lvlText w:val=""/>
      <w:lvlJc w:val="left"/>
      <w:pPr>
        <w:ind w:left="6681" w:hanging="360"/>
      </w:pPr>
      <w:rPr>
        <w:rFonts w:ascii="Symbol" w:hAnsi="Symbol" w:hint="default"/>
      </w:rPr>
    </w:lvl>
    <w:lvl w:ilvl="7" w:tplc="04150003" w:tentative="1">
      <w:start w:val="1"/>
      <w:numFmt w:val="bullet"/>
      <w:lvlText w:val="o"/>
      <w:lvlJc w:val="left"/>
      <w:pPr>
        <w:ind w:left="7401" w:hanging="360"/>
      </w:pPr>
      <w:rPr>
        <w:rFonts w:ascii="Courier New" w:hAnsi="Courier New" w:cs="Courier New" w:hint="default"/>
      </w:rPr>
    </w:lvl>
    <w:lvl w:ilvl="8" w:tplc="04150005" w:tentative="1">
      <w:start w:val="1"/>
      <w:numFmt w:val="bullet"/>
      <w:lvlText w:val=""/>
      <w:lvlJc w:val="left"/>
      <w:pPr>
        <w:ind w:left="8121" w:hanging="360"/>
      </w:pPr>
      <w:rPr>
        <w:rFonts w:ascii="Wingdings" w:hAnsi="Wingdings" w:hint="default"/>
      </w:rPr>
    </w:lvl>
  </w:abstractNum>
  <w:abstractNum w:abstractNumId="27">
    <w:nsid w:val="691069D2"/>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CBD5ECE"/>
    <w:multiLevelType w:val="hybridMultilevel"/>
    <w:tmpl w:val="3C946FE0"/>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6F0E339F"/>
    <w:multiLevelType w:val="hybridMultilevel"/>
    <w:tmpl w:val="184C61DC"/>
    <w:lvl w:ilvl="0" w:tplc="3EE09596">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FA56603"/>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71B21207"/>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 w:numId="22">
    <w:abstractNumId w:val="20"/>
  </w:num>
  <w:num w:numId="23">
    <w:abstractNumId w:val="26"/>
  </w:num>
  <w:num w:numId="24">
    <w:abstractNumId w:val="1"/>
  </w:num>
  <w:num w:numId="25">
    <w:abstractNumId w:val="3"/>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4"/>
  </w:num>
  <w:num w:numId="31">
    <w:abstractNumId w:val="5"/>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Łazęcki">
    <w15:presenceInfo w15:providerId="Windows Live" w15:userId="5b7e171fa2ef3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A8"/>
    <w:rsid w:val="00055E24"/>
    <w:rsid w:val="000777F6"/>
    <w:rsid w:val="000B0027"/>
    <w:rsid w:val="001E34F4"/>
    <w:rsid w:val="001F6AB3"/>
    <w:rsid w:val="002715B1"/>
    <w:rsid w:val="00284A13"/>
    <w:rsid w:val="00304677"/>
    <w:rsid w:val="0032543A"/>
    <w:rsid w:val="0036265D"/>
    <w:rsid w:val="003E78E9"/>
    <w:rsid w:val="0040779E"/>
    <w:rsid w:val="00422BC7"/>
    <w:rsid w:val="00425B2D"/>
    <w:rsid w:val="004823B8"/>
    <w:rsid w:val="004C25BA"/>
    <w:rsid w:val="00551689"/>
    <w:rsid w:val="00556693"/>
    <w:rsid w:val="005A37C0"/>
    <w:rsid w:val="005D1319"/>
    <w:rsid w:val="005E37AB"/>
    <w:rsid w:val="006B5D80"/>
    <w:rsid w:val="00715C2E"/>
    <w:rsid w:val="00730D0C"/>
    <w:rsid w:val="0076713B"/>
    <w:rsid w:val="0080034F"/>
    <w:rsid w:val="00800E7A"/>
    <w:rsid w:val="00872EF1"/>
    <w:rsid w:val="008A2F87"/>
    <w:rsid w:val="008D7BA3"/>
    <w:rsid w:val="0091358D"/>
    <w:rsid w:val="009E182D"/>
    <w:rsid w:val="00A524AB"/>
    <w:rsid w:val="00A9267C"/>
    <w:rsid w:val="00B144FE"/>
    <w:rsid w:val="00B21C9F"/>
    <w:rsid w:val="00B54D5F"/>
    <w:rsid w:val="00BA23A3"/>
    <w:rsid w:val="00C145E9"/>
    <w:rsid w:val="00C41F69"/>
    <w:rsid w:val="00C966D3"/>
    <w:rsid w:val="00CA5E60"/>
    <w:rsid w:val="00CB49A8"/>
    <w:rsid w:val="00CE0A9E"/>
    <w:rsid w:val="00CF0131"/>
    <w:rsid w:val="00D66FAF"/>
    <w:rsid w:val="00D9437E"/>
    <w:rsid w:val="00E344AE"/>
    <w:rsid w:val="00E43F83"/>
    <w:rsid w:val="00E64890"/>
    <w:rsid w:val="00EB7108"/>
    <w:rsid w:val="00EC1221"/>
    <w:rsid w:val="00ED6B76"/>
    <w:rsid w:val="00EF42E0"/>
    <w:rsid w:val="00F123B1"/>
    <w:rsid w:val="00F35500"/>
    <w:rsid w:val="00FA2085"/>
    <w:rsid w:val="00FB7EB1"/>
    <w:rsid w:val="00FD0C13"/>
    <w:rsid w:val="00FD26CC"/>
    <w:rsid w:val="00FD5B01"/>
    <w:rsid w:val="00FE3B00"/>
    <w:rsid w:val="00FF6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spacing w:before="56"/>
      <w:ind w:left="638"/>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6B5D80"/>
    <w:rPr>
      <w:sz w:val="20"/>
      <w:szCs w:val="20"/>
    </w:rPr>
  </w:style>
  <w:style w:type="character" w:customStyle="1" w:styleId="TekstprzypisudolnegoZnak">
    <w:name w:val="Tekst przypisu dolnego Znak"/>
    <w:basedOn w:val="Domylnaczcionkaakapitu"/>
    <w:link w:val="Tekstprzypisudolnego"/>
    <w:uiPriority w:val="99"/>
    <w:semiHidden/>
    <w:rsid w:val="006B5D80"/>
    <w:rPr>
      <w:rFonts w:ascii="Arial" w:eastAsia="Arial" w:hAnsi="Arial" w:cs="Arial"/>
      <w:sz w:val="20"/>
      <w:szCs w:val="20"/>
      <w:lang w:val="pl-PL" w:eastAsia="pl-PL" w:bidi="pl-PL"/>
    </w:rPr>
  </w:style>
  <w:style w:type="character" w:styleId="Odwoanieprzypisudolnego">
    <w:name w:val="footnote reference"/>
    <w:basedOn w:val="Domylnaczcionkaakapitu"/>
    <w:uiPriority w:val="99"/>
    <w:semiHidden/>
    <w:unhideWhenUsed/>
    <w:rsid w:val="006B5D80"/>
    <w:rPr>
      <w:vertAlign w:val="superscript"/>
    </w:rPr>
  </w:style>
  <w:style w:type="paragraph" w:styleId="Nagwek">
    <w:name w:val="header"/>
    <w:basedOn w:val="Normalny"/>
    <w:link w:val="NagwekZnak"/>
    <w:uiPriority w:val="99"/>
    <w:unhideWhenUsed/>
    <w:rsid w:val="00715C2E"/>
    <w:pPr>
      <w:tabs>
        <w:tab w:val="center" w:pos="4536"/>
        <w:tab w:val="right" w:pos="9072"/>
      </w:tabs>
    </w:pPr>
  </w:style>
  <w:style w:type="character" w:customStyle="1" w:styleId="NagwekZnak">
    <w:name w:val="Nagłówek Znak"/>
    <w:basedOn w:val="Domylnaczcionkaakapitu"/>
    <w:link w:val="Nagwek"/>
    <w:uiPriority w:val="99"/>
    <w:rsid w:val="00715C2E"/>
    <w:rPr>
      <w:rFonts w:ascii="Arial" w:eastAsia="Arial" w:hAnsi="Arial" w:cs="Arial"/>
      <w:lang w:val="pl-PL" w:eastAsia="pl-PL" w:bidi="pl-PL"/>
    </w:rPr>
  </w:style>
  <w:style w:type="paragraph" w:styleId="Stopka">
    <w:name w:val="footer"/>
    <w:basedOn w:val="Normalny"/>
    <w:link w:val="StopkaZnak"/>
    <w:uiPriority w:val="99"/>
    <w:unhideWhenUsed/>
    <w:rsid w:val="00715C2E"/>
    <w:pPr>
      <w:tabs>
        <w:tab w:val="center" w:pos="4536"/>
        <w:tab w:val="right" w:pos="9072"/>
      </w:tabs>
    </w:pPr>
  </w:style>
  <w:style w:type="character" w:customStyle="1" w:styleId="StopkaZnak">
    <w:name w:val="Stopka Znak"/>
    <w:basedOn w:val="Domylnaczcionkaakapitu"/>
    <w:link w:val="Stopka"/>
    <w:uiPriority w:val="99"/>
    <w:rsid w:val="00715C2E"/>
    <w:rPr>
      <w:rFonts w:ascii="Arial" w:eastAsia="Arial" w:hAnsi="Arial" w:cs="Arial"/>
      <w:lang w:val="pl-PL" w:eastAsia="pl-PL" w:bidi="pl-PL"/>
    </w:rPr>
  </w:style>
  <w:style w:type="character" w:styleId="Hipercze">
    <w:name w:val="Hyperlink"/>
    <w:rsid w:val="00B54D5F"/>
    <w:rPr>
      <w:rFonts w:cs="Times New Roman"/>
      <w:color w:val="0000FF"/>
      <w:u w:val="single"/>
    </w:rPr>
  </w:style>
  <w:style w:type="character" w:customStyle="1" w:styleId="AkapitzlistZnak">
    <w:name w:val="Akapit z listą Znak"/>
    <w:link w:val="Akapitzlist"/>
    <w:uiPriority w:val="34"/>
    <w:locked/>
    <w:rsid w:val="00B54D5F"/>
    <w:rPr>
      <w:rFonts w:ascii="Arial" w:eastAsia="Arial" w:hAnsi="Arial" w:cs="Arial"/>
      <w:lang w:val="pl-PL" w:eastAsia="pl-PL" w:bidi="pl-PL"/>
    </w:rPr>
  </w:style>
  <w:style w:type="paragraph" w:customStyle="1" w:styleId="Default">
    <w:name w:val="Default"/>
    <w:rsid w:val="00B54D5F"/>
    <w:pPr>
      <w:widowControl/>
      <w:adjustRightInd w:val="0"/>
    </w:pPr>
    <w:rPr>
      <w:rFonts w:ascii="Arial" w:eastAsia="Times New Roman" w:hAnsi="Arial" w:cs="Arial"/>
      <w:color w:val="000000"/>
      <w:sz w:val="24"/>
      <w:szCs w:val="24"/>
      <w:lang w:val="pl-PL" w:eastAsia="pl-PL"/>
    </w:rPr>
  </w:style>
  <w:style w:type="paragraph" w:styleId="Tekstdymka">
    <w:name w:val="Balloon Text"/>
    <w:basedOn w:val="Normalny"/>
    <w:link w:val="TekstdymkaZnak"/>
    <w:uiPriority w:val="99"/>
    <w:semiHidden/>
    <w:unhideWhenUsed/>
    <w:rsid w:val="00F355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500"/>
    <w:rPr>
      <w:rFonts w:ascii="Segoe UI" w:eastAsia="Arial" w:hAnsi="Segoe UI" w:cs="Segoe UI"/>
      <w:sz w:val="18"/>
      <w:szCs w:val="18"/>
      <w:lang w:val="pl-PL" w:eastAsia="pl-PL" w:bidi="pl-PL"/>
    </w:rPr>
  </w:style>
  <w:style w:type="character" w:styleId="Odwoaniedokomentarza">
    <w:name w:val="annotation reference"/>
    <w:basedOn w:val="Domylnaczcionkaakapitu"/>
    <w:semiHidden/>
    <w:unhideWhenUsed/>
    <w:rsid w:val="001E34F4"/>
    <w:rPr>
      <w:sz w:val="16"/>
      <w:szCs w:val="16"/>
    </w:rPr>
  </w:style>
  <w:style w:type="paragraph" w:styleId="Tekstkomentarza">
    <w:name w:val="annotation text"/>
    <w:basedOn w:val="Normalny"/>
    <w:link w:val="TekstkomentarzaZnak"/>
    <w:semiHidden/>
    <w:unhideWhenUsed/>
    <w:rsid w:val="001E34F4"/>
    <w:rPr>
      <w:sz w:val="20"/>
      <w:szCs w:val="20"/>
    </w:rPr>
  </w:style>
  <w:style w:type="character" w:customStyle="1" w:styleId="TekstkomentarzaZnak">
    <w:name w:val="Tekst komentarza Znak"/>
    <w:basedOn w:val="Domylnaczcionkaakapitu"/>
    <w:link w:val="Tekstkomentarza"/>
    <w:rsid w:val="001E34F4"/>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E34F4"/>
    <w:rPr>
      <w:b/>
      <w:bCs/>
    </w:rPr>
  </w:style>
  <w:style w:type="character" w:customStyle="1" w:styleId="TematkomentarzaZnak">
    <w:name w:val="Temat komentarza Znak"/>
    <w:basedOn w:val="TekstkomentarzaZnak"/>
    <w:link w:val="Tematkomentarza"/>
    <w:uiPriority w:val="99"/>
    <w:semiHidden/>
    <w:rsid w:val="001E34F4"/>
    <w:rPr>
      <w:rFonts w:ascii="Arial" w:eastAsia="Arial" w:hAnsi="Arial" w:cs="Arial"/>
      <w:b/>
      <w:bCs/>
      <w:sz w:val="20"/>
      <w:szCs w:val="20"/>
      <w:lang w:val="pl-PL" w:eastAsia="pl-PL"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eastAsia="Arial" w:hAnsi="Arial" w:cs="Arial"/>
      <w:lang w:val="pl-PL" w:eastAsia="pl-PL" w:bidi="pl-PL"/>
    </w:rPr>
  </w:style>
  <w:style w:type="paragraph" w:styleId="Nagwek1">
    <w:name w:val="heading 1"/>
    <w:basedOn w:val="Normalny"/>
    <w:uiPriority w:val="9"/>
    <w:qFormat/>
    <w:pPr>
      <w:spacing w:before="56"/>
      <w:ind w:left="638"/>
      <w:outlineLvl w:val="0"/>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1"/>
      <w:szCs w:val="21"/>
    </w:rPr>
  </w:style>
  <w:style w:type="paragraph" w:styleId="Akapitzlist">
    <w:name w:val="List Paragraph"/>
    <w:basedOn w:val="Normalny"/>
    <w:link w:val="AkapitzlistZnak"/>
    <w:uiPriority w:val="34"/>
    <w:qFormat/>
  </w:style>
  <w:style w:type="paragraph" w:customStyle="1" w:styleId="TableParagraph">
    <w:name w:val="Table Paragraph"/>
    <w:basedOn w:val="Normalny"/>
    <w:uiPriority w:val="1"/>
    <w:qFormat/>
  </w:style>
  <w:style w:type="paragraph" w:styleId="Tekstprzypisudolnego">
    <w:name w:val="footnote text"/>
    <w:basedOn w:val="Normalny"/>
    <w:link w:val="TekstprzypisudolnegoZnak"/>
    <w:uiPriority w:val="99"/>
    <w:semiHidden/>
    <w:unhideWhenUsed/>
    <w:rsid w:val="006B5D80"/>
    <w:rPr>
      <w:sz w:val="20"/>
      <w:szCs w:val="20"/>
    </w:rPr>
  </w:style>
  <w:style w:type="character" w:customStyle="1" w:styleId="TekstprzypisudolnegoZnak">
    <w:name w:val="Tekst przypisu dolnego Znak"/>
    <w:basedOn w:val="Domylnaczcionkaakapitu"/>
    <w:link w:val="Tekstprzypisudolnego"/>
    <w:uiPriority w:val="99"/>
    <w:semiHidden/>
    <w:rsid w:val="006B5D80"/>
    <w:rPr>
      <w:rFonts w:ascii="Arial" w:eastAsia="Arial" w:hAnsi="Arial" w:cs="Arial"/>
      <w:sz w:val="20"/>
      <w:szCs w:val="20"/>
      <w:lang w:val="pl-PL" w:eastAsia="pl-PL" w:bidi="pl-PL"/>
    </w:rPr>
  </w:style>
  <w:style w:type="character" w:styleId="Odwoanieprzypisudolnego">
    <w:name w:val="footnote reference"/>
    <w:basedOn w:val="Domylnaczcionkaakapitu"/>
    <w:uiPriority w:val="99"/>
    <w:semiHidden/>
    <w:unhideWhenUsed/>
    <w:rsid w:val="006B5D80"/>
    <w:rPr>
      <w:vertAlign w:val="superscript"/>
    </w:rPr>
  </w:style>
  <w:style w:type="paragraph" w:styleId="Nagwek">
    <w:name w:val="header"/>
    <w:basedOn w:val="Normalny"/>
    <w:link w:val="NagwekZnak"/>
    <w:uiPriority w:val="99"/>
    <w:unhideWhenUsed/>
    <w:rsid w:val="00715C2E"/>
    <w:pPr>
      <w:tabs>
        <w:tab w:val="center" w:pos="4536"/>
        <w:tab w:val="right" w:pos="9072"/>
      </w:tabs>
    </w:pPr>
  </w:style>
  <w:style w:type="character" w:customStyle="1" w:styleId="NagwekZnak">
    <w:name w:val="Nagłówek Znak"/>
    <w:basedOn w:val="Domylnaczcionkaakapitu"/>
    <w:link w:val="Nagwek"/>
    <w:uiPriority w:val="99"/>
    <w:rsid w:val="00715C2E"/>
    <w:rPr>
      <w:rFonts w:ascii="Arial" w:eastAsia="Arial" w:hAnsi="Arial" w:cs="Arial"/>
      <w:lang w:val="pl-PL" w:eastAsia="pl-PL" w:bidi="pl-PL"/>
    </w:rPr>
  </w:style>
  <w:style w:type="paragraph" w:styleId="Stopka">
    <w:name w:val="footer"/>
    <w:basedOn w:val="Normalny"/>
    <w:link w:val="StopkaZnak"/>
    <w:uiPriority w:val="99"/>
    <w:unhideWhenUsed/>
    <w:rsid w:val="00715C2E"/>
    <w:pPr>
      <w:tabs>
        <w:tab w:val="center" w:pos="4536"/>
        <w:tab w:val="right" w:pos="9072"/>
      </w:tabs>
    </w:pPr>
  </w:style>
  <w:style w:type="character" w:customStyle="1" w:styleId="StopkaZnak">
    <w:name w:val="Stopka Znak"/>
    <w:basedOn w:val="Domylnaczcionkaakapitu"/>
    <w:link w:val="Stopka"/>
    <w:uiPriority w:val="99"/>
    <w:rsid w:val="00715C2E"/>
    <w:rPr>
      <w:rFonts w:ascii="Arial" w:eastAsia="Arial" w:hAnsi="Arial" w:cs="Arial"/>
      <w:lang w:val="pl-PL" w:eastAsia="pl-PL" w:bidi="pl-PL"/>
    </w:rPr>
  </w:style>
  <w:style w:type="character" w:styleId="Hipercze">
    <w:name w:val="Hyperlink"/>
    <w:rsid w:val="00B54D5F"/>
    <w:rPr>
      <w:rFonts w:cs="Times New Roman"/>
      <w:color w:val="0000FF"/>
      <w:u w:val="single"/>
    </w:rPr>
  </w:style>
  <w:style w:type="character" w:customStyle="1" w:styleId="AkapitzlistZnak">
    <w:name w:val="Akapit z listą Znak"/>
    <w:link w:val="Akapitzlist"/>
    <w:uiPriority w:val="34"/>
    <w:locked/>
    <w:rsid w:val="00B54D5F"/>
    <w:rPr>
      <w:rFonts w:ascii="Arial" w:eastAsia="Arial" w:hAnsi="Arial" w:cs="Arial"/>
      <w:lang w:val="pl-PL" w:eastAsia="pl-PL" w:bidi="pl-PL"/>
    </w:rPr>
  </w:style>
  <w:style w:type="paragraph" w:customStyle="1" w:styleId="Default">
    <w:name w:val="Default"/>
    <w:rsid w:val="00B54D5F"/>
    <w:pPr>
      <w:widowControl/>
      <w:adjustRightInd w:val="0"/>
    </w:pPr>
    <w:rPr>
      <w:rFonts w:ascii="Arial" w:eastAsia="Times New Roman" w:hAnsi="Arial" w:cs="Arial"/>
      <w:color w:val="000000"/>
      <w:sz w:val="24"/>
      <w:szCs w:val="24"/>
      <w:lang w:val="pl-PL" w:eastAsia="pl-PL"/>
    </w:rPr>
  </w:style>
  <w:style w:type="paragraph" w:styleId="Tekstdymka">
    <w:name w:val="Balloon Text"/>
    <w:basedOn w:val="Normalny"/>
    <w:link w:val="TekstdymkaZnak"/>
    <w:uiPriority w:val="99"/>
    <w:semiHidden/>
    <w:unhideWhenUsed/>
    <w:rsid w:val="00F355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5500"/>
    <w:rPr>
      <w:rFonts w:ascii="Segoe UI" w:eastAsia="Arial" w:hAnsi="Segoe UI" w:cs="Segoe UI"/>
      <w:sz w:val="18"/>
      <w:szCs w:val="18"/>
      <w:lang w:val="pl-PL" w:eastAsia="pl-PL" w:bidi="pl-PL"/>
    </w:rPr>
  </w:style>
  <w:style w:type="character" w:styleId="Odwoaniedokomentarza">
    <w:name w:val="annotation reference"/>
    <w:basedOn w:val="Domylnaczcionkaakapitu"/>
    <w:semiHidden/>
    <w:unhideWhenUsed/>
    <w:rsid w:val="001E34F4"/>
    <w:rPr>
      <w:sz w:val="16"/>
      <w:szCs w:val="16"/>
    </w:rPr>
  </w:style>
  <w:style w:type="paragraph" w:styleId="Tekstkomentarza">
    <w:name w:val="annotation text"/>
    <w:basedOn w:val="Normalny"/>
    <w:link w:val="TekstkomentarzaZnak"/>
    <w:semiHidden/>
    <w:unhideWhenUsed/>
    <w:rsid w:val="001E34F4"/>
    <w:rPr>
      <w:sz w:val="20"/>
      <w:szCs w:val="20"/>
    </w:rPr>
  </w:style>
  <w:style w:type="character" w:customStyle="1" w:styleId="TekstkomentarzaZnak">
    <w:name w:val="Tekst komentarza Znak"/>
    <w:basedOn w:val="Domylnaczcionkaakapitu"/>
    <w:link w:val="Tekstkomentarza"/>
    <w:rsid w:val="001E34F4"/>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1E34F4"/>
    <w:rPr>
      <w:b/>
      <w:bCs/>
    </w:rPr>
  </w:style>
  <w:style w:type="character" w:customStyle="1" w:styleId="TematkomentarzaZnak">
    <w:name w:val="Temat komentarza Znak"/>
    <w:basedOn w:val="TekstkomentarzaZnak"/>
    <w:link w:val="Tematkomentarza"/>
    <w:uiPriority w:val="99"/>
    <w:semiHidden/>
    <w:rsid w:val="001E34F4"/>
    <w:rPr>
      <w:rFonts w:ascii="Arial" w:eastAsia="Arial" w:hAnsi="Arial" w:cs="Arial"/>
      <w:b/>
      <w:bCs/>
      <w:sz w:val="20"/>
      <w:szCs w:val="20"/>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5310">
      <w:bodyDiv w:val="1"/>
      <w:marLeft w:val="0"/>
      <w:marRight w:val="0"/>
      <w:marTop w:val="0"/>
      <w:marBottom w:val="0"/>
      <w:divBdr>
        <w:top w:val="none" w:sz="0" w:space="0" w:color="auto"/>
        <w:left w:val="none" w:sz="0" w:space="0" w:color="auto"/>
        <w:bottom w:val="none" w:sz="0" w:space="0" w:color="auto"/>
        <w:right w:val="none" w:sz="0" w:space="0" w:color="auto"/>
      </w:divBdr>
    </w:div>
    <w:div w:id="141986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slugirozwojowe.parp.gov.pl" TargetMode="External"/><Relationship Id="rId4" Type="http://schemas.microsoft.com/office/2007/relationships/stylesWithEffects" Target="stylesWithEffects.xml"/><Relationship Id="rId9" Type="http://schemas.openxmlformats.org/officeDocument/2006/relationships/hyperlink" Target="https://uslugirozwojowe.parp.gov.pl/"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6835-48B1-4238-A64D-9FDD45F1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5336</Words>
  <Characters>32022</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Załącznik nr 14</vt:lpstr>
    </vt:vector>
  </TitlesOfParts>
  <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14</dc:title>
  <dc:creator>Ewa_Niedzialek</dc:creator>
  <cp:lastModifiedBy>Florczyk-Życzkowska, Anna</cp:lastModifiedBy>
  <cp:revision>5</cp:revision>
  <cp:lastPrinted>2020-03-26T08:29:00Z</cp:lastPrinted>
  <dcterms:created xsi:type="dcterms:W3CDTF">2020-03-27T07:25:00Z</dcterms:created>
  <dcterms:modified xsi:type="dcterms:W3CDTF">2020-04-02T14:06:00Z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2019-01-22T00:00:00Z</vt:filetime>
  </property>
</Properties>
</file>