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3A3" w:rsidRPr="008C0E9D" w:rsidRDefault="00B8365B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>R</w:t>
      </w:r>
      <w:r w:rsidR="00CC68E0">
        <w:rPr>
          <w:rFonts w:asciiTheme="minorHAnsi" w:hAnsiTheme="minorHAnsi" w:cstheme="minorHAnsi"/>
          <w:b/>
          <w:sz w:val="28"/>
          <w:szCs w:val="28"/>
        </w:rPr>
        <w:t>egulamin</w:t>
      </w:r>
      <w:r w:rsidRPr="008C0E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68E0">
        <w:rPr>
          <w:rFonts w:asciiTheme="minorHAnsi" w:hAnsiTheme="minorHAnsi" w:cstheme="minorHAnsi"/>
          <w:b/>
          <w:sz w:val="28"/>
          <w:szCs w:val="28"/>
        </w:rPr>
        <w:t>udzielania pożyczek z Funduszu Pożyczkowego</w:t>
      </w:r>
    </w:p>
    <w:p w:rsidR="00B8365B" w:rsidRPr="008C0E9D" w:rsidRDefault="009113A3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>„</w:t>
      </w:r>
      <w:r w:rsidR="004672A5">
        <w:rPr>
          <w:rFonts w:asciiTheme="minorHAnsi" w:hAnsiTheme="minorHAnsi" w:cstheme="minorHAnsi"/>
          <w:b/>
          <w:sz w:val="28"/>
          <w:szCs w:val="28"/>
        </w:rPr>
        <w:t>Pożyczka dla Start-</w:t>
      </w:r>
      <w:proofErr w:type="spellStart"/>
      <w:r w:rsidR="004672A5">
        <w:rPr>
          <w:rFonts w:asciiTheme="minorHAnsi" w:hAnsiTheme="minorHAnsi" w:cstheme="minorHAnsi"/>
          <w:b/>
          <w:sz w:val="28"/>
          <w:szCs w:val="28"/>
        </w:rPr>
        <w:t>Upów</w:t>
      </w:r>
      <w:proofErr w:type="spellEnd"/>
      <w:r w:rsidR="007776BB">
        <w:rPr>
          <w:rFonts w:asciiTheme="minorHAnsi" w:hAnsiTheme="minorHAnsi" w:cstheme="minorHAnsi"/>
          <w:b/>
          <w:sz w:val="28"/>
          <w:szCs w:val="28"/>
        </w:rPr>
        <w:t xml:space="preserve"> w</w:t>
      </w:r>
      <w:r w:rsidR="0039662A">
        <w:rPr>
          <w:rFonts w:asciiTheme="minorHAnsi" w:hAnsiTheme="minorHAnsi" w:cstheme="minorHAnsi"/>
          <w:b/>
          <w:sz w:val="28"/>
          <w:szCs w:val="28"/>
        </w:rPr>
        <w:t xml:space="preserve">sparcie ze środków EFRR i Budżetu Państwa </w:t>
      </w:r>
      <w:r w:rsidR="00B8365B" w:rsidRPr="008C0E9D">
        <w:rPr>
          <w:rFonts w:asciiTheme="minorHAnsi" w:hAnsiTheme="minorHAnsi" w:cstheme="minorHAnsi"/>
          <w:b/>
          <w:sz w:val="28"/>
          <w:szCs w:val="28"/>
        </w:rPr>
        <w:t>”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B20132" w:rsidRDefault="00B8365B" w:rsidP="00BF28C7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20132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:rsidR="00B8365B" w:rsidRPr="00B312BF" w:rsidRDefault="00B8365B" w:rsidP="008C0E9D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:rsidR="009113A3" w:rsidRPr="00B312BF" w:rsidRDefault="009113A3" w:rsidP="001606FE">
      <w:pPr>
        <w:pStyle w:val="Akapitzlist"/>
        <w:numPr>
          <w:ilvl w:val="0"/>
          <w:numId w:val="19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12BF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B312BF">
        <w:rPr>
          <w:rFonts w:ascii="Arial" w:hAnsi="Arial" w:cs="Arial"/>
          <w:sz w:val="20"/>
          <w:szCs w:val="20"/>
        </w:rPr>
        <w:t> </w:t>
      </w:r>
      <w:r w:rsidRPr="00B312BF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B312BF">
        <w:rPr>
          <w:rFonts w:ascii="Arial" w:hAnsi="Arial" w:cs="Arial"/>
          <w:sz w:val="20"/>
          <w:szCs w:val="20"/>
        </w:rPr>
        <w:t> </w:t>
      </w:r>
      <w:r w:rsidRPr="00B312BF">
        <w:rPr>
          <w:rFonts w:ascii="Arial" w:hAnsi="Arial" w:cs="Arial"/>
          <w:sz w:val="20"/>
          <w:szCs w:val="20"/>
        </w:rPr>
        <w:t>676-00-58-847 i numerze REGON 350239017</w:t>
      </w:r>
      <w:r w:rsidR="006F6977" w:rsidRPr="00B312BF">
        <w:rPr>
          <w:rFonts w:ascii="Arial" w:hAnsi="Arial" w:cs="Arial"/>
          <w:sz w:val="20"/>
          <w:szCs w:val="20"/>
        </w:rPr>
        <w:t xml:space="preserve"> –  zwana również MARR SA </w:t>
      </w:r>
      <w:r w:rsidR="00B456C9" w:rsidRPr="00B312BF">
        <w:rPr>
          <w:rFonts w:ascii="Arial" w:hAnsi="Arial" w:cs="Arial"/>
          <w:sz w:val="20"/>
          <w:szCs w:val="20"/>
        </w:rPr>
        <w:t xml:space="preserve">lub </w:t>
      </w:r>
      <w:r w:rsidRPr="00B312BF">
        <w:rPr>
          <w:rFonts w:ascii="Arial" w:hAnsi="Arial" w:cs="Arial"/>
          <w:sz w:val="20"/>
          <w:szCs w:val="20"/>
        </w:rPr>
        <w:t>„Lider Konsorcjum”</w:t>
      </w:r>
    </w:p>
    <w:p w:rsidR="009113A3" w:rsidRPr="00B312BF" w:rsidRDefault="009113A3" w:rsidP="001606FE">
      <w:pPr>
        <w:pStyle w:val="Akapitzlist"/>
        <w:numPr>
          <w:ilvl w:val="0"/>
          <w:numId w:val="19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12BF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B312BF">
        <w:rPr>
          <w:rFonts w:ascii="Arial" w:hAnsi="Arial" w:cs="Arial"/>
          <w:sz w:val="20"/>
          <w:szCs w:val="20"/>
        </w:rPr>
        <w:t xml:space="preserve"> – zwana również  TA</w:t>
      </w:r>
      <w:r w:rsidR="00B47C23" w:rsidRPr="00B312BF">
        <w:rPr>
          <w:rFonts w:ascii="Arial" w:hAnsi="Arial" w:cs="Arial"/>
          <w:sz w:val="20"/>
          <w:szCs w:val="20"/>
        </w:rPr>
        <w:t>RR SA</w:t>
      </w:r>
      <w:r w:rsidR="006F6977" w:rsidRPr="00B312BF">
        <w:rPr>
          <w:rFonts w:ascii="Arial" w:hAnsi="Arial" w:cs="Arial"/>
          <w:sz w:val="20"/>
          <w:szCs w:val="20"/>
        </w:rPr>
        <w:t xml:space="preserve"> </w:t>
      </w:r>
      <w:r w:rsidR="00B456C9" w:rsidRPr="00B312BF">
        <w:rPr>
          <w:rFonts w:ascii="Arial" w:hAnsi="Arial" w:cs="Arial"/>
          <w:sz w:val="20"/>
          <w:szCs w:val="20"/>
        </w:rPr>
        <w:t xml:space="preserve">lub </w:t>
      </w:r>
      <w:r w:rsidRPr="00B312BF">
        <w:rPr>
          <w:rFonts w:ascii="Arial" w:hAnsi="Arial" w:cs="Arial"/>
          <w:sz w:val="20"/>
          <w:szCs w:val="20"/>
        </w:rPr>
        <w:t>„Uczestnik Konsorcjum”</w:t>
      </w:r>
    </w:p>
    <w:p w:rsidR="009113A3" w:rsidRPr="00B312BF" w:rsidRDefault="009113A3" w:rsidP="001606FE">
      <w:pPr>
        <w:pStyle w:val="Akapitzlist"/>
        <w:numPr>
          <w:ilvl w:val="0"/>
          <w:numId w:val="19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12BF">
        <w:rPr>
          <w:rFonts w:ascii="Arial" w:hAnsi="Arial" w:cs="Arial"/>
          <w:bCs/>
          <w:sz w:val="20"/>
          <w:szCs w:val="20"/>
        </w:rPr>
        <w:t>Agencja</w:t>
      </w:r>
      <w:r w:rsidRPr="00B312BF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B312BF">
        <w:rPr>
          <w:rFonts w:ascii="Arial" w:hAnsi="Arial" w:cs="Arial"/>
          <w:sz w:val="20"/>
          <w:szCs w:val="20"/>
        </w:rPr>
        <w:t xml:space="preserve"> 5, 32-500 Chrzanów, działająca</w:t>
      </w:r>
      <w:r w:rsidRPr="00B312BF">
        <w:rPr>
          <w:rFonts w:ascii="Arial" w:hAnsi="Arial" w:cs="Arial"/>
          <w:sz w:val="20"/>
          <w:szCs w:val="20"/>
        </w:rPr>
        <w:t xml:space="preserve"> na podstawie wpisu do Krajowego Rejestru Sądowego o numerze 0000225451, o numerze identyfikacji podatkowej NIP </w:t>
      </w:r>
      <w:r w:rsidRPr="00B312BF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B312BF">
        <w:rPr>
          <w:rFonts w:ascii="Arial" w:hAnsi="Arial" w:cs="Arial"/>
          <w:sz w:val="20"/>
          <w:szCs w:val="20"/>
        </w:rPr>
        <w:t xml:space="preserve"> – z</w:t>
      </w:r>
      <w:r w:rsidR="006F6977" w:rsidRPr="00B312BF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B312BF">
        <w:rPr>
          <w:rFonts w:ascii="Arial" w:hAnsi="Arial" w:cs="Arial"/>
          <w:sz w:val="20"/>
          <w:szCs w:val="20"/>
        </w:rPr>
        <w:t xml:space="preserve">lub </w:t>
      </w:r>
      <w:r w:rsidRPr="00B312BF">
        <w:rPr>
          <w:rFonts w:ascii="Arial" w:hAnsi="Arial" w:cs="Arial"/>
          <w:sz w:val="20"/>
          <w:szCs w:val="20"/>
        </w:rPr>
        <w:t>„Uczestnik Konsorcjum”</w:t>
      </w:r>
    </w:p>
    <w:p w:rsidR="00B8365B" w:rsidRPr="00902F60" w:rsidRDefault="00B8365B" w:rsidP="004672A5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B312BF">
        <w:rPr>
          <w:rFonts w:ascii="Arial" w:hAnsi="Arial"/>
          <w:sz w:val="20"/>
          <w:szCs w:val="20"/>
        </w:rPr>
        <w:t>„</w:t>
      </w:r>
      <w:r w:rsidR="009F0752" w:rsidRPr="00B312BF">
        <w:rPr>
          <w:rFonts w:ascii="Arial" w:hAnsi="Arial"/>
          <w:sz w:val="20"/>
          <w:szCs w:val="20"/>
        </w:rPr>
        <w:t>Pożyczka dla Start-</w:t>
      </w:r>
      <w:proofErr w:type="spellStart"/>
      <w:r w:rsidR="009F0752" w:rsidRPr="00B312BF">
        <w:rPr>
          <w:rFonts w:ascii="Arial" w:hAnsi="Arial"/>
          <w:sz w:val="20"/>
          <w:szCs w:val="20"/>
        </w:rPr>
        <w:t>Upów</w:t>
      </w:r>
      <w:proofErr w:type="spellEnd"/>
      <w:r w:rsidR="009F0752" w:rsidRPr="00B312BF">
        <w:rPr>
          <w:rFonts w:ascii="Arial" w:hAnsi="Arial"/>
          <w:sz w:val="20"/>
          <w:szCs w:val="20"/>
        </w:rPr>
        <w:t xml:space="preserve"> wsparcie ze środków EFRR i Budżetu Państwa</w:t>
      </w:r>
      <w:r w:rsidR="004672A5" w:rsidRPr="00B312BF">
        <w:rPr>
          <w:rFonts w:ascii="Arial" w:hAnsi="Arial"/>
          <w:sz w:val="20"/>
          <w:szCs w:val="20"/>
        </w:rPr>
        <w:t xml:space="preserve">” </w:t>
      </w:r>
      <w:r w:rsidR="008F084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Umow</w:t>
      </w:r>
      <w:r w:rsidR="008F084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9F0752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w ramach instrumentu finansowego Pożyczka, o którym mowa w art. 2 pkt 11) Rozporządzenia </w:t>
      </w:r>
      <w:r w:rsidR="00B31345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B312BF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zwanego dalej Instrumentem Finansowym.</w:t>
      </w:r>
    </w:p>
    <w:p w:rsidR="00B8365B" w:rsidRPr="00902F60" w:rsidRDefault="00B8365B" w:rsidP="00BF28C7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</w:p>
    <w:p w:rsidR="00B8365B" w:rsidRPr="00902F60" w:rsidRDefault="00B8365B" w:rsidP="008C0E9D">
      <w:p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Użyte w niniejszym regulaminie określenia oznaczają:</w:t>
      </w:r>
    </w:p>
    <w:p w:rsidR="00B8365B" w:rsidRPr="00902F60" w:rsidRDefault="00B8365B" w:rsidP="001606FE">
      <w:pPr>
        <w:pStyle w:val="Akapitzlist"/>
        <w:numPr>
          <w:ilvl w:val="0"/>
          <w:numId w:val="34"/>
        </w:numPr>
        <w:tabs>
          <w:tab w:val="left" w:pos="3360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 xml:space="preserve">Organ wykonawczy </w:t>
      </w:r>
      <w:r w:rsidR="00735076"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właściwego Pożyczkodawcy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y: </w:t>
      </w:r>
      <w:r w:rsidR="009113A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MARR </w:t>
      </w:r>
      <w:r w:rsidR="009113A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SA, 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TARR</w:t>
      </w:r>
      <w:r w:rsidR="004672A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SA lub</w:t>
      </w:r>
      <w:r w:rsidR="00FB3A37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ARMZ SA</w:t>
      </w:r>
      <w:r w:rsidR="002B0BB9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B0BB9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spełniający funkcje</w:t>
      </w:r>
      <w:r w:rsidR="00CE3BBF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zarządzające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CE3BBF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podmiotami</w:t>
      </w:r>
      <w:r w:rsidR="00F8426E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wchodząc</w:t>
      </w:r>
      <w:r w:rsidR="00CE3BBF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ymi</w:t>
      </w:r>
      <w:r w:rsidR="00F8426E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skład Konsorcjum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60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Ustawa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- Ustawa z dnia 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6 marca 2018 r</w:t>
      </w:r>
      <w:r w:rsidR="000D5371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0D5371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- 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Prawo przedsiębiorców (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Dz. U. z 201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8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r. poz.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646)</w:t>
      </w:r>
      <w:r w:rsidR="00772367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Pożyczkodawca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–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odpowiednio</w:t>
      </w:r>
      <w:r w:rsidR="002B6F3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A62AC8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każdy z członków Konsorcjum (</w:t>
      </w:r>
      <w:r w:rsidR="00290E5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MARR SA, TARR SA, </w:t>
      </w:r>
      <w:r w:rsidR="00853DF1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lub ARMZ SA) </w:t>
      </w:r>
      <w:r w:rsidR="002F7B7E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będący stroną Umowy Pożyczki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–</w:t>
      </w:r>
      <w:r w:rsidR="0074140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tj.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Pośrednik Finansowy w rozumieniu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Umowy Operacyjnej,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Pożyczkobiorca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- Ostateczny Odbiorca - MŚP w rozumieniu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Załącznika nr [2] do Umowy Operacyjnej, który zawarł z Pożyczkodawcą Umowę Inwestycyjną na zasadach w ni</w:t>
      </w:r>
      <w:r w:rsidR="002668F3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ej określonych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;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Umowa Operacyjna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 - 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9F0752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 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zawarta pomiędzy </w:t>
      </w:r>
      <w:r w:rsidR="00290E55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902F6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Umowa Pożyczki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– Umowa Inwestycyjna, w rozumieniu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Umowy Operacyjnej</w:t>
      </w:r>
      <w:r w:rsidR="00BC4FD8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34"/>
        </w:numPr>
        <w:tabs>
          <w:tab w:val="left" w:pos="3315"/>
        </w:tabs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  <w:t>Administrator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BC4FD8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–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danego Pożyczko</w:t>
      </w:r>
      <w:r w:rsidR="00C46BAC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dawcy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obsługujące umowy pożyczkowe</w:t>
      </w:r>
      <w:r w:rsidR="00625687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7476FA" w:rsidRPr="00902F60" w:rsidRDefault="00A30D81" w:rsidP="001606FE">
      <w:pPr>
        <w:pStyle w:val="Akapitzlist"/>
        <w:numPr>
          <w:ilvl w:val="0"/>
          <w:numId w:val="34"/>
        </w:numPr>
        <w:tabs>
          <w:tab w:val="left" w:pos="-2127"/>
          <w:tab w:val="left" w:pos="0"/>
        </w:tabs>
        <w:spacing w:before="12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lastRenderedPageBreak/>
        <w:t>Anal</w:t>
      </w:r>
      <w:r w:rsidR="007476FA" w:rsidRPr="00902F6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ityk</w:t>
      </w:r>
      <w:r w:rsidR="007476F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–</w:t>
      </w:r>
      <w:r w:rsidR="007476F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62568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pracownik 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wyznaczon</w:t>
      </w:r>
      <w:r w:rsidR="0062568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y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przez</w:t>
      </w:r>
      <w:r w:rsidR="0062568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danego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y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o udzielenie pożyczki.</w:t>
      </w:r>
    </w:p>
    <w:p w:rsidR="00812AD1" w:rsidRPr="00902F60" w:rsidRDefault="00812AD1" w:rsidP="00812AD1">
      <w:pPr>
        <w:pStyle w:val="Akapitzlist"/>
        <w:tabs>
          <w:tab w:val="left" w:pos="-2127"/>
          <w:tab w:val="left" w:pos="0"/>
        </w:tabs>
        <w:spacing w:before="120" w:line="240" w:lineRule="auto"/>
        <w:ind w:left="700" w:firstLine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080596" w:rsidRPr="00902F60" w:rsidRDefault="00A91EA7" w:rsidP="001606FE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Komisja Pożyczkowa</w:t>
      </w:r>
      <w:r w:rsidR="00080596" w:rsidRPr="00902F60">
        <w:rPr>
          <w:rFonts w:ascii="Arial" w:hAnsi="Arial" w:cs="Arial"/>
          <w:b/>
          <w:sz w:val="20"/>
          <w:szCs w:val="20"/>
        </w:rPr>
        <w:t xml:space="preserve"> </w:t>
      </w:r>
      <w:r w:rsidR="00080596" w:rsidRPr="00902F6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(Komisja)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AB638F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–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komisj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działając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z członków</w:t>
      </w:r>
      <w:r w:rsidR="00BF28C7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, którzy złożyli oświadczenie o </w:t>
      </w:r>
      <w:r w:rsidR="00CE52D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bezstronności w brzmieniu Załącznik</w:t>
      </w:r>
      <w:r w:rsidR="009F0614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Nr 2 do niniejszego regulaminu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, 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dokonująca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 </w:t>
      </w:r>
      <w:r w:rsidR="0008059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udzielenie pożyczki.</w:t>
      </w:r>
    </w:p>
    <w:p w:rsidR="0015717C" w:rsidRPr="00902F60" w:rsidRDefault="0015717C" w:rsidP="001606FE">
      <w:pPr>
        <w:pStyle w:val="Poziom2"/>
        <w:numPr>
          <w:ilvl w:val="0"/>
          <w:numId w:val="34"/>
        </w:numPr>
        <w:tabs>
          <w:tab w:val="clear" w:pos="1134"/>
        </w:tabs>
        <w:rPr>
          <w:rFonts w:ascii="Arial" w:hAnsi="Arial" w:cs="Arial"/>
        </w:rPr>
      </w:pPr>
      <w:r w:rsidRPr="00902F60">
        <w:rPr>
          <w:rFonts w:ascii="Arial" w:hAnsi="Arial" w:cs="Arial"/>
          <w:b/>
        </w:rPr>
        <w:t>MŚP</w:t>
      </w:r>
      <w:r w:rsidRPr="00902F60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:rsidR="00092043" w:rsidRPr="00902F60" w:rsidRDefault="00092043" w:rsidP="001606FE">
      <w:pPr>
        <w:pStyle w:val="Poziom2"/>
        <w:numPr>
          <w:ilvl w:val="0"/>
          <w:numId w:val="34"/>
        </w:numPr>
        <w:rPr>
          <w:rFonts w:ascii="Arial" w:hAnsi="Arial" w:cs="Arial"/>
        </w:rPr>
      </w:pPr>
      <w:r w:rsidRPr="00902F60">
        <w:rPr>
          <w:rFonts w:ascii="Arial" w:hAnsi="Arial" w:cs="Arial"/>
          <w:b/>
        </w:rPr>
        <w:t>Start-</w:t>
      </w:r>
      <w:proofErr w:type="spellStart"/>
      <w:r w:rsidRPr="00902F60">
        <w:rPr>
          <w:rFonts w:ascii="Arial" w:hAnsi="Arial" w:cs="Arial"/>
          <w:b/>
        </w:rPr>
        <w:t>up</w:t>
      </w:r>
      <w:proofErr w:type="spellEnd"/>
      <w:r w:rsidRPr="00902F60">
        <w:rPr>
          <w:rFonts w:ascii="Arial" w:hAnsi="Arial" w:cs="Arial"/>
        </w:rPr>
        <w:t xml:space="preserve"> –  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 wpisu w Centralnej Ewidencji i 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 xml:space="preserve">dla osób fizycznych – od daty rozpoczęcia wykonywania działalności określonej  w CEIDG; 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 xml:space="preserve">dla spółek cywilnych – od daty zawarcia umowy spółki; 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 xml:space="preserve">dla spółek kapitałowych – od daty zawarcia umowy spółki; 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 xml:space="preserve">dla pozostałych spółek handlowych – od daty rejestracji w KRS; 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>dla oddziałów przedsiębiorstw zagranicznych – od daty rejestracji w KRS;</w:t>
      </w:r>
    </w:p>
    <w:p w:rsidR="00092043" w:rsidRPr="00902F60" w:rsidRDefault="00092043" w:rsidP="001606FE">
      <w:pPr>
        <w:pStyle w:val="Poziom2"/>
        <w:numPr>
          <w:ilvl w:val="0"/>
          <w:numId w:val="35"/>
        </w:numPr>
        <w:rPr>
          <w:rFonts w:ascii="Arial" w:hAnsi="Arial" w:cs="Arial"/>
        </w:rPr>
      </w:pPr>
      <w:r w:rsidRPr="00902F60">
        <w:rPr>
          <w:rFonts w:ascii="Arial" w:hAnsi="Arial" w:cs="Arial"/>
        </w:rPr>
        <w:t xml:space="preserve">dla przedsiębiorstw zagranicznych – od daty zawarcia umowy spółki lub daty rejestracji w odpowiednim rejestrze, w zależności od konstrukcji prawnej przedsiębiorstwa zagranicznego;  </w:t>
      </w:r>
    </w:p>
    <w:p w:rsidR="00092043" w:rsidRPr="00902F60" w:rsidRDefault="00092043" w:rsidP="00902F60">
      <w:pPr>
        <w:pStyle w:val="Poziom2"/>
        <w:numPr>
          <w:ilvl w:val="0"/>
          <w:numId w:val="0"/>
        </w:numPr>
        <w:tabs>
          <w:tab w:val="clear" w:pos="1134"/>
        </w:tabs>
        <w:ind w:left="680"/>
        <w:rPr>
          <w:rFonts w:ascii="Arial" w:hAnsi="Arial" w:cs="Arial"/>
        </w:rPr>
      </w:pPr>
      <w:r w:rsidRPr="00902F60">
        <w:rPr>
          <w:rFonts w:ascii="Arial" w:hAnsi="Arial" w:cs="Arial"/>
        </w:rPr>
        <w:t>z zastrzeżeniem, że przekształcenie lub zmiana formy prawnej powyższych podmiotów, traktowana jest jako kontynuacja dotychczas prowadzonej działalności, a nie rozpoczęcie prowadzenia nowej działalności gospodarczej.</w:t>
      </w:r>
    </w:p>
    <w:p w:rsidR="00092043" w:rsidRPr="00902F60" w:rsidRDefault="00092043" w:rsidP="00092043">
      <w:pPr>
        <w:pStyle w:val="Poziom2"/>
        <w:numPr>
          <w:ilvl w:val="0"/>
          <w:numId w:val="0"/>
        </w:numPr>
        <w:tabs>
          <w:tab w:val="clear" w:pos="1134"/>
        </w:tabs>
        <w:ind w:left="680"/>
        <w:rPr>
          <w:rFonts w:ascii="Arial" w:hAnsi="Arial" w:cs="Arial"/>
        </w:rPr>
      </w:pPr>
    </w:p>
    <w:p w:rsidR="00092043" w:rsidRPr="00902F60" w:rsidRDefault="00092043" w:rsidP="00092043">
      <w:pPr>
        <w:pStyle w:val="Poziom2"/>
        <w:numPr>
          <w:ilvl w:val="0"/>
          <w:numId w:val="0"/>
        </w:numPr>
        <w:tabs>
          <w:tab w:val="clear" w:pos="1134"/>
        </w:tabs>
        <w:ind w:left="680"/>
        <w:rPr>
          <w:rFonts w:ascii="Arial" w:hAnsi="Arial" w:cs="Arial"/>
        </w:rPr>
      </w:pPr>
    </w:p>
    <w:p w:rsidR="00B8365B" w:rsidRPr="00902F60" w:rsidRDefault="00B8365B" w:rsidP="00BF28C7">
      <w:pPr>
        <w:spacing w:before="120" w:line="240" w:lineRule="auto"/>
        <w:ind w:left="150" w:hanging="150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3</w:t>
      </w:r>
    </w:p>
    <w:p w:rsidR="007A6EFD" w:rsidRPr="00902F60" w:rsidRDefault="007A6EFD" w:rsidP="007A6EFD">
      <w:pPr>
        <w:spacing w:before="120" w:after="120" w:line="240" w:lineRule="auto"/>
        <w:ind w:left="426" w:hanging="426"/>
        <w:jc w:val="both"/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</w:p>
    <w:p w:rsidR="00B8365B" w:rsidRPr="00902F60" w:rsidRDefault="007A6EFD" w:rsidP="007A6EFD">
      <w:pPr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t xml:space="preserve"> przez MŚP we wczesnej fazie rozwoju (Start-</w:t>
      </w:r>
      <w:proofErr w:type="spellStart"/>
      <w:r w:rsidRPr="00902F60"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t>up</w:t>
      </w:r>
      <w:proofErr w:type="spellEnd"/>
      <w:r w:rsidRPr="00902F60">
        <w:rPr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t>)</w:t>
      </w:r>
      <w:r w:rsidRPr="00902F60">
        <w:rPr>
          <w:rStyle w:val="Odwoanieprzypisudolnego"/>
          <w:rFonts w:ascii="Arial" w:eastAsia="Calibri" w:hAnsi="Arial"/>
          <w:bCs/>
          <w:color w:val="000000"/>
          <w:kern w:val="0"/>
          <w:sz w:val="20"/>
          <w:szCs w:val="20"/>
          <w:lang w:eastAsia="en-US" w:bidi="ar-SA"/>
        </w:rPr>
        <w:footnoteReference w:id="1"/>
      </w:r>
    </w:p>
    <w:p w:rsidR="00B8365B" w:rsidRPr="00902F60" w:rsidRDefault="00B8365B" w:rsidP="00BF28C7">
      <w:pPr>
        <w:spacing w:before="120" w:line="240" w:lineRule="auto"/>
        <w:ind w:left="510" w:hanging="51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4</w:t>
      </w:r>
    </w:p>
    <w:p w:rsidR="00B8365B" w:rsidRPr="00902F60" w:rsidRDefault="00B8365B" w:rsidP="009F0752">
      <w:pPr>
        <w:spacing w:before="120" w:line="240" w:lineRule="auto"/>
        <w:ind w:hanging="71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Warunkiem ubiegania się o przyznanie pożyczki jest: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inwestycyjnej,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:rsidR="00B8365B" w:rsidRPr="00902F60" w:rsidRDefault="00B8365B" w:rsidP="001606FE">
      <w:pPr>
        <w:pStyle w:val="Akapitzlist"/>
        <w:numPr>
          <w:ilvl w:val="0"/>
          <w:numId w:val="36"/>
        </w:numPr>
        <w:tabs>
          <w:tab w:val="left" w:pos="3465"/>
        </w:tabs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:rsidR="00B8365B" w:rsidRPr="00902F60" w:rsidRDefault="00B8365B" w:rsidP="00902F60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5</w:t>
      </w:r>
    </w:p>
    <w:p w:rsidR="00C564E3" w:rsidRPr="00902F60" w:rsidRDefault="00B8365B" w:rsidP="001606FE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Pożyczka może zostać przeznaczona wyłącznie na przedsięwzięcia inwestycyjne, na terenie województwa małopolskiego realizowane przez MŚP działające na rynku </w:t>
      </w:r>
      <w:r w:rsidR="00C564E3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nie 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dłużej niż </w:t>
      </w:r>
      <w:r w:rsidR="00B312BF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             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lastRenderedPageBreak/>
        <w:t xml:space="preserve">24 miesiące mające na celu </w:t>
      </w:r>
      <w:r w:rsidR="00C564E3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we wczesnej fazie rozwoju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C564E3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w tym w szczególności: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</w:p>
    <w:p w:rsidR="00B8365B" w:rsidRPr="00902F60" w:rsidRDefault="00B8365B" w:rsidP="001606FE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inwestycje w nowoczesne maszyny, urządzenia i sprzęt produkcyjny, w celu wprowadzenia na rynek nowych lub ulepszonych produktów lub usług,</w:t>
      </w:r>
    </w:p>
    <w:p w:rsidR="00B8365B" w:rsidRPr="00902F60" w:rsidRDefault="00B8365B" w:rsidP="001606FE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:rsidR="00B8365B" w:rsidRPr="00902F60" w:rsidRDefault="00B8365B" w:rsidP="001606FE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inwestycje dotyczące stosowania w działalności gospodarczej technologii informacyjno – komunikacyjnych (TIK),</w:t>
      </w:r>
    </w:p>
    <w:p w:rsidR="00B8365B" w:rsidRPr="00902F60" w:rsidRDefault="00B8365B" w:rsidP="001606FE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best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available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technology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) – nowoczesne rozwiązania umożliwiające redukcję kosztów działalności rynkowej w przedsiębiorstwach, wynikającą z mniejszego zużycia energii lub bardziej efektywnego wykorzystania surowców (jako element kompleksowego projektu),</w:t>
      </w:r>
    </w:p>
    <w:p w:rsidR="00B8365B" w:rsidRPr="00902F60" w:rsidRDefault="00B8365B" w:rsidP="001606FE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B8365B" w:rsidRPr="00902F60" w:rsidRDefault="00B8365B" w:rsidP="001606FE">
      <w:pPr>
        <w:pStyle w:val="Akapitzlist"/>
        <w:widowControl w:val="0"/>
        <w:numPr>
          <w:ilvl w:val="0"/>
          <w:numId w:val="37"/>
        </w:numPr>
        <w:autoSpaceDE w:val="0"/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Udział Pożyczki w koszcie realizowanego przedsięwzięcia może stanowić do 100% jego wartości.</w:t>
      </w:r>
    </w:p>
    <w:p w:rsidR="00B32F38" w:rsidRPr="00902F60" w:rsidRDefault="00B32F38" w:rsidP="00B32F38">
      <w:pPr>
        <w:widowControl w:val="0"/>
        <w:autoSpaceDE w:val="0"/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B32F38" w:rsidRPr="00902F60" w:rsidRDefault="00B32F38" w:rsidP="00B32F38">
      <w:pPr>
        <w:widowControl w:val="0"/>
        <w:autoSpaceDE w:val="0"/>
        <w:spacing w:before="120" w:after="120" w:line="240" w:lineRule="auto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B8365B" w:rsidRPr="00902F60" w:rsidRDefault="00B8365B" w:rsidP="00BF28C7">
      <w:pPr>
        <w:spacing w:before="120" w:line="240" w:lineRule="auto"/>
        <w:ind w:left="720" w:hanging="720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6</w:t>
      </w:r>
    </w:p>
    <w:p w:rsidR="00B8365B" w:rsidRPr="00902F60" w:rsidRDefault="00B8365B" w:rsidP="001606FE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wydatków pokrytych uprzednio ze środków EFSI, z innych funduszy, programów, środków i instrumentów Unii Europejskiej lub innych źródeł pomocy krajowej lub zagranicznej,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refinansowanie inwestycji, które w dniu podjęcia decyzji inwestycyjnej zostały fizycznie ukończone lub w pełni zrealizowane;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refinansowanie jakichkolwiek pożyczek lub kredytów;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spłatę zobowiązań publiczno – prawnych Pożyczkobiorcy,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wytwarzania, przetwórstwa lub wprowadzania do obrotu tytoniu i wyrobów tytoniowych;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20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zakupu udziałów lub akcji innego przedsiębiorstwa;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produkcji lub wprowadzania do obrotu napojów alkoholowych;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produkcji lub wprowadzania do obrotu treści pornograficznych;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obrotu materiałami wybuchowymi, bronią i amunicją;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gier losowych, zakładów wzajemnych, gier na automatach i gier na automatach o niskich wygranych;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działalności w zakresie produkcji lub wprowadzania do obrotu środków odurzających, substancji psychotropowych lub prekursorów;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likwidacji lub budowy elektrowni jądrowych;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inwestycji na rzecz redukcji emisji gazów cieplarnianych pochodzących z listy działań wymienionych w załączniku I do dyrektywy 2003/87/WE;</w:t>
      </w:r>
    </w:p>
    <w:p w:rsidR="00B8365B" w:rsidRPr="00902F60" w:rsidRDefault="00B8365B" w:rsidP="001606FE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B8365B" w:rsidRPr="00902F60" w:rsidRDefault="00B8365B" w:rsidP="001606FE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:rsidR="00B8365B" w:rsidRPr="00902F60" w:rsidRDefault="00290E55" w:rsidP="001606FE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lastRenderedPageBreak/>
        <w:t>Jeden Pożyczkobiorca</w:t>
      </w:r>
      <w:r w:rsidR="00B8365B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 o której mowa w </w:t>
      </w:r>
      <w:r w:rsidR="00B8365B" w:rsidRPr="00902F60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:rsidR="009F0614" w:rsidRPr="00902F60" w:rsidRDefault="009F0614" w:rsidP="001606FE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 gdy Pożyczkobiorcą są przedsiębiorcy działający wspólnie w oparciu o</w:t>
      </w:r>
      <w:r w:rsidR="00695DB9" w:rsidRPr="00902F60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902F60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:rsidR="00B8365B" w:rsidRPr="00902F60" w:rsidRDefault="00B8365B" w:rsidP="008C0E9D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7</w:t>
      </w:r>
    </w:p>
    <w:p w:rsidR="00B8365B" w:rsidRPr="00902F60" w:rsidRDefault="00B8365B" w:rsidP="001606FE">
      <w:pPr>
        <w:numPr>
          <w:ilvl w:val="0"/>
          <w:numId w:val="13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</w:t>
      </w:r>
      <w:r w:rsidR="00695DB9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opy referencyjnej wnioskodawcy.</w:t>
      </w:r>
    </w:p>
    <w:p w:rsidR="00B8365B" w:rsidRPr="00902F60" w:rsidRDefault="00B8365B" w:rsidP="001606FE">
      <w:pPr>
        <w:numPr>
          <w:ilvl w:val="0"/>
          <w:numId w:val="13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Stopa referencyjna  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Dz.Urz</w:t>
      </w:r>
      <w:proofErr w:type="spellEnd"/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:rsidR="006C5BB3" w:rsidRPr="00902F60" w:rsidRDefault="006C5BB3" w:rsidP="001606FE">
      <w:pPr>
        <w:numPr>
          <w:ilvl w:val="0"/>
          <w:numId w:val="13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Jednostkowe Pożyczki udzielane są po:</w:t>
      </w:r>
    </w:p>
    <w:p w:rsidR="006C5BB3" w:rsidRPr="00902F60" w:rsidRDefault="006C5BB3" w:rsidP="001606FE">
      <w:pPr>
        <w:pStyle w:val="Akapitzlist"/>
        <w:numPr>
          <w:ilvl w:val="6"/>
          <w:numId w:val="23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pozytywnym zweryfikowaniu zgodności inwestycji z celami, na które przewidziano wsparcie</w:t>
      </w:r>
      <w:r w:rsidR="003410C3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,</w:t>
      </w:r>
    </w:p>
    <w:p w:rsidR="006C5BB3" w:rsidRPr="00902F60" w:rsidRDefault="006C5BB3" w:rsidP="001606FE">
      <w:pPr>
        <w:pStyle w:val="Akapitzlist"/>
        <w:numPr>
          <w:ilvl w:val="6"/>
          <w:numId w:val="23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e stosowaną przez Pożyczkodawcę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:rsidR="006C5BB3" w:rsidRPr="00902F60" w:rsidRDefault="006C5BB3" w:rsidP="001606FE">
      <w:pPr>
        <w:pStyle w:val="Akapitzlist"/>
        <w:numPr>
          <w:ilvl w:val="6"/>
          <w:numId w:val="23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:rsidR="006C5BB3" w:rsidRPr="00902F60" w:rsidRDefault="009F0614" w:rsidP="001606FE">
      <w:pPr>
        <w:pStyle w:val="Akapitzlist"/>
        <w:numPr>
          <w:ilvl w:val="6"/>
          <w:numId w:val="23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zaakceptowaniu proponowanych</w:t>
      </w:r>
      <w:r w:rsidR="00CD658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przez Ostatecznego Odbiorcę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6C5BB3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 </w:t>
      </w:r>
      <w:r w:rsidR="006C5BB3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związku z zaciąganymi zobowiązaniami przez Ostatecznych Odbiorców.</w:t>
      </w:r>
    </w:p>
    <w:p w:rsidR="00B8365B" w:rsidRPr="00902F60" w:rsidRDefault="00CD658D" w:rsidP="008C0E9D">
      <w:pPr>
        <w:spacing w:before="120" w:after="100" w:afterAutospacing="1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4</w:t>
      </w:r>
      <w:r w:rsidR="002B1E4C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  <w:r w:rsidR="002B1E4C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ab/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Oceny wniosku pożyczk</w:t>
      </w:r>
      <w:r w:rsidR="001D547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świadczących o</w:t>
      </w:r>
      <w:r w:rsidR="003410C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spełnianiu warunków, o których mowa w § 3 i 4 oraz warunku działania na rynku</w:t>
      </w:r>
      <w:r w:rsidR="00B8365B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dłużej niż 24 miesiące</w:t>
      </w:r>
      <w:r w:rsidR="001D547D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 w tym w szczególności</w:t>
      </w:r>
      <w:r w:rsidR="001D547D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:</w:t>
      </w:r>
    </w:p>
    <w:p w:rsidR="00B8365B" w:rsidRPr="00902F60" w:rsidRDefault="001D547D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dokumentów rejestrowych podmiotu</w:t>
      </w:r>
      <w:r w:rsidR="008C66B0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,</w:t>
      </w:r>
    </w:p>
    <w:p w:rsidR="00B8365B" w:rsidRPr="00902F60" w:rsidRDefault="001D547D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dokumentów finansowych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B8365B" w:rsidRPr="00902F60" w:rsidRDefault="001D547D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zaświadczeń i oświadczeń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B8365B" w:rsidRPr="00902F60" w:rsidRDefault="00B8365B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oceny wskaźników ekonomicznych,</w:t>
      </w:r>
    </w:p>
    <w:p w:rsidR="00B8365B" w:rsidRPr="00902F60" w:rsidRDefault="001D547D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zabezpieczenia pożyczki</w:t>
      </w:r>
    </w:p>
    <w:p w:rsidR="00966649" w:rsidRPr="00902F60" w:rsidRDefault="00966649" w:rsidP="001606FE">
      <w:pPr>
        <w:numPr>
          <w:ilvl w:val="0"/>
          <w:numId w:val="24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innych dokumentów</w:t>
      </w:r>
      <w:r w:rsidR="00E14B8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</w:p>
    <w:p w:rsidR="00B1531C" w:rsidRPr="00902F60" w:rsidRDefault="00B1531C" w:rsidP="00902F60">
      <w:pPr>
        <w:spacing w:before="120" w:line="240" w:lineRule="auto"/>
        <w:ind w:left="0" w:firstLine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8</w:t>
      </w:r>
    </w:p>
    <w:p w:rsidR="00B8365B" w:rsidRPr="00902F60" w:rsidRDefault="00B8365B" w:rsidP="001606FE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Zabezpieczenie pożyczki, bez względu na jej wysokość następuje z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zastrzeżeniem ust.2</w:t>
      </w:r>
      <w:r w:rsidRPr="00902F60">
        <w:rPr>
          <w:rFonts w:ascii="Arial" w:eastAsia="Times New Roman" w:hAnsi="Arial"/>
          <w:color w:val="FF0000"/>
          <w:kern w:val="0"/>
          <w:sz w:val="20"/>
          <w:szCs w:val="20"/>
          <w:lang w:eastAsia="ar-SA" w:bidi="ar-SA"/>
        </w:rPr>
        <w:t xml:space="preserve">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 formie wskazanej przez Pożyczkodawcę. Zabezpieczenie uwzględnia rodzaj pożyczki, jej wysokość, ocenę ryzyka i jest dokonywane poprzez: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poręczenie wekslowe,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poręczenie osoby trzeciej, wg prawa cywilnego,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przewłaszczenie rzeczy na zabezpieczenie,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zastaw zwykły i zastaw rejestrowy,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hipotekę na nieruchomości,</w:t>
      </w:r>
    </w:p>
    <w:p w:rsidR="00B8365B" w:rsidRPr="00902F60" w:rsidRDefault="00427E08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lastRenderedPageBreak/>
        <w:t>oświadczenie o podda</w:t>
      </w:r>
      <w:r w:rsidR="004E32B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niu się egzekucji w trybie art. 777 §1 pkt 5 Kodeksu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postępowania cywilnego, w formie</w:t>
      </w:r>
      <w:r w:rsidR="004E32B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aktu notarialnego</w:t>
      </w:r>
      <w:r w:rsidR="002E4BD1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2E4BD1" w:rsidRPr="00902F60" w:rsidRDefault="002E4BD1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gwarancja bankowa,</w:t>
      </w:r>
    </w:p>
    <w:p w:rsidR="00B8365B" w:rsidRPr="00902F60" w:rsidRDefault="00B8365B" w:rsidP="001606FE">
      <w:pPr>
        <w:numPr>
          <w:ilvl w:val="0"/>
          <w:numId w:val="25"/>
        </w:numPr>
        <w:spacing w:before="120" w:line="240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inne uzgodnione przez strony. </w:t>
      </w:r>
    </w:p>
    <w:p w:rsidR="00B8365B" w:rsidRPr="00902F60" w:rsidRDefault="00B8365B" w:rsidP="001606FE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:rsidR="00B8365B" w:rsidRPr="00902F60" w:rsidRDefault="008C66B0" w:rsidP="001606FE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Weksel</w:t>
      </w:r>
      <w:r w:rsidR="001766E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własny </w:t>
      </w:r>
      <w:r w:rsidR="001766E5" w:rsidRPr="00902F60">
        <w:rPr>
          <w:rFonts w:ascii="Arial" w:eastAsia="Times New Roman" w:hAnsi="Arial"/>
          <w:i/>
          <w:color w:val="000000"/>
          <w:kern w:val="0"/>
          <w:sz w:val="20"/>
          <w:szCs w:val="20"/>
          <w:lang w:eastAsia="ar-SA" w:bidi="ar-SA"/>
        </w:rPr>
        <w:t>in blanco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1766E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wraz z deklaracją wekslową </w:t>
      </w:r>
      <w:r w:rsidR="00B8365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jest zabezpieczeniem obligatoryj</w:t>
      </w:r>
      <w:r w:rsidR="00F02584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nym każdej udzielonej pożyczki. 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9</w:t>
      </w:r>
    </w:p>
    <w:p w:rsidR="00B8365B" w:rsidRPr="00902F60" w:rsidRDefault="00B8365B" w:rsidP="001606FE">
      <w:pPr>
        <w:numPr>
          <w:ilvl w:val="0"/>
          <w:numId w:val="14"/>
        </w:numPr>
        <w:spacing w:before="120" w:line="240" w:lineRule="auto"/>
        <w:ind w:left="426" w:hanging="426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Pożyczkobiorca może wnieść  wkład własny na realizację  planowanego przedsięwzięcia.</w:t>
      </w:r>
    </w:p>
    <w:p w:rsidR="00B8365B" w:rsidRPr="00902F60" w:rsidRDefault="00B8365B" w:rsidP="001606FE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:rsidR="00B8365B" w:rsidRPr="00902F60" w:rsidRDefault="00B8365B" w:rsidP="001606FE">
      <w:pPr>
        <w:numPr>
          <w:ilvl w:val="0"/>
          <w:numId w:val="26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:rsidR="00B8365B" w:rsidRPr="00902F60" w:rsidRDefault="00B8365B" w:rsidP="001606FE">
      <w:pPr>
        <w:numPr>
          <w:ilvl w:val="0"/>
          <w:numId w:val="26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:rsidR="00B8365B" w:rsidRPr="00902F60" w:rsidRDefault="00B8365B" w:rsidP="001606FE">
      <w:pPr>
        <w:numPr>
          <w:ilvl w:val="0"/>
          <w:numId w:val="26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10</w:t>
      </w:r>
    </w:p>
    <w:p w:rsidR="00B8365B" w:rsidRPr="00902F60" w:rsidRDefault="00B8365B" w:rsidP="001606FE">
      <w:pPr>
        <w:numPr>
          <w:ilvl w:val="0"/>
          <w:numId w:val="39"/>
        </w:numPr>
        <w:spacing w:before="120" w:after="100" w:afterAutospacing="1" w:line="240" w:lineRule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Wysokość udzielonej pożyczki nie może być niższa niż 10.000</w:t>
      </w:r>
      <w:r w:rsidR="00B32F38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,00 zł. i  przekroczyć kwoty 9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00.000,00 zł  z zastrzeżeniem ust. 2 - ust. </w:t>
      </w:r>
      <w:r w:rsidR="001E41FA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4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.</w:t>
      </w:r>
    </w:p>
    <w:p w:rsidR="00B8365B" w:rsidRPr="00902F60" w:rsidRDefault="00B8365B" w:rsidP="001606FE">
      <w:pPr>
        <w:numPr>
          <w:ilvl w:val="0"/>
          <w:numId w:val="39"/>
        </w:numPr>
        <w:spacing w:before="120" w:after="100" w:afterAutospacing="1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:rsidR="005E5865" w:rsidRPr="00902F60" w:rsidRDefault="00B8365B" w:rsidP="001606FE">
      <w:pPr>
        <w:numPr>
          <w:ilvl w:val="0"/>
          <w:numId w:val="39"/>
        </w:numPr>
        <w:spacing w:before="120" w:after="100" w:afterAutospacing="1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Na udzielenie</w:t>
      </w:r>
      <w:r w:rsidR="00FB6CC4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jednostkowych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pożyczek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, w których udział środków wkładu BGK nie przewyższa</w:t>
      </w:r>
      <w:r w:rsidR="004D168F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kwoty 100.000,00 zł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pr</w:t>
      </w:r>
      <w:r w:rsidR="005417C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zeznacza się co najmniej kwotę 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2 700 000 zł stanowiącą łączny limit wkładu BGK określony w umowie operacyjnej. </w:t>
      </w:r>
    </w:p>
    <w:p w:rsidR="00B8365B" w:rsidRPr="00902F60" w:rsidRDefault="00B8365B" w:rsidP="001606FE">
      <w:pPr>
        <w:numPr>
          <w:ilvl w:val="0"/>
          <w:numId w:val="39"/>
        </w:numPr>
        <w:spacing w:before="120" w:after="100" w:afterAutospacing="1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Nie rozdysponowane środki w ramach </w:t>
      </w:r>
      <w:r w:rsidR="008D6F10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limitu 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wkładu BGK 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o </w:t>
      </w:r>
      <w:r w:rsidR="00BA4414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którym 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mowa w ust. 3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4D168F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są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przeznaczone na pożyczki</w:t>
      </w:r>
      <w:r w:rsidR="005E5865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w których udział środków wkładu BGK przekracza kwotę 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8D6F10"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100</w:t>
      </w: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.000,00 złotych.</w:t>
      </w:r>
    </w:p>
    <w:p w:rsidR="00B8365B" w:rsidRPr="00902F60" w:rsidRDefault="00B8365B" w:rsidP="001606FE">
      <w:pPr>
        <w:numPr>
          <w:ilvl w:val="0"/>
          <w:numId w:val="39"/>
        </w:numPr>
        <w:spacing w:before="120" w:after="100" w:afterAutospacing="1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11</w:t>
      </w:r>
    </w:p>
    <w:p w:rsidR="00B8365B" w:rsidRPr="00902F60" w:rsidRDefault="00B8365B" w:rsidP="008C0E9D">
      <w:pPr>
        <w:spacing w:before="120" w:after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:rsidR="00B8365B" w:rsidRPr="00902F60" w:rsidRDefault="00B8365B" w:rsidP="001606FE">
      <w:pPr>
        <w:numPr>
          <w:ilvl w:val="0"/>
          <w:numId w:val="11"/>
        </w:numPr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902F60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:rsidR="00B8365B" w:rsidRPr="00902F60" w:rsidRDefault="00B8365B" w:rsidP="001606FE">
      <w:pPr>
        <w:numPr>
          <w:ilvl w:val="0"/>
          <w:numId w:val="11"/>
        </w:numPr>
        <w:spacing w:before="120" w:after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r 3 do niniejszego regulaminu.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12</w:t>
      </w:r>
    </w:p>
    <w:p w:rsidR="00B8365B" w:rsidRPr="00902F60" w:rsidRDefault="00B8365B" w:rsidP="001606FE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Pożyczki udzielane w ramach Funduszu Pożyczkowego są oprocentowane:</w:t>
      </w:r>
    </w:p>
    <w:p w:rsidR="00B8365B" w:rsidRPr="00902F60" w:rsidRDefault="00B8365B" w:rsidP="001606FE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warunkach rynkowych, według stopy referencyjnej obliczanej przy zastosowaniu obowiązującej stopy bazowej oraz marży ustalonej w oparciu o Komunikat Komisji Europejskiej w sprawie zmiany metody ustalania stóp referencyjnych i dyskontowych (Dz. Urz. 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lastRenderedPageBreak/>
        <w:t>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  <w:r w:rsidR="0054477F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</w:p>
    <w:p w:rsidR="00B8365B" w:rsidRPr="00902F60" w:rsidRDefault="00B8365B" w:rsidP="001606FE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warunkach korzystniejszych niż rynkowe, zgodnie z zasadami udzielania pomocy </w:t>
      </w:r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de </w:t>
      </w:r>
      <w:proofErr w:type="spellStart"/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>minimis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, o których mowa w Rozporządzeniu Komisji  (UE) nr 1407/2013 z dnia 18</w:t>
      </w:r>
      <w:r w:rsidR="0054477F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grudnia 2013 r. w sprawie stosowania art. 107 i 108 Traktatu o funkcjonowaniu Unii Europejskiej do pomocy </w:t>
      </w:r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de </w:t>
      </w:r>
      <w:proofErr w:type="spellStart"/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>minimis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oraz Rozporządzenia Ministra Infrastruktury i</w:t>
      </w:r>
      <w:r w:rsidR="0054477F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Rozwoju z dnia 19 marca 2015 r. w sprawie udzielania pomocy </w:t>
      </w:r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de </w:t>
      </w:r>
      <w:proofErr w:type="spellStart"/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>minimis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w</w:t>
      </w:r>
      <w:r w:rsidR="0054477F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ramach regionalnych programów operacyjnych na lata 2014–2020 (Dz.U. 2015 poz. 488 z</w:t>
      </w:r>
      <w:r w:rsidR="0054477F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późniejszymi zmianami). W przypadku wystąpienia pomocy w formie </w:t>
      </w:r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 xml:space="preserve">de </w:t>
      </w:r>
      <w:proofErr w:type="spellStart"/>
      <w:r w:rsidRPr="00902F60">
        <w:rPr>
          <w:rFonts w:ascii="Arial" w:eastAsia="Calibri" w:hAnsi="Arial"/>
          <w:i/>
          <w:kern w:val="0"/>
          <w:sz w:val="20"/>
          <w:szCs w:val="20"/>
          <w:lang w:eastAsia="en-US" w:bidi="ar-SA"/>
        </w:rPr>
        <w:t>minimis</w:t>
      </w:r>
      <w:proofErr w:type="spellEnd"/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obowiązek badania dopuszczalności pomocy, obliczan</w:t>
      </w:r>
      <w:r w:rsidR="00E2413A"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ia wartości udzielonej pomocy, </w:t>
      </w: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zgłaszania faktu udzielenia takiej pomocy, wydania stosownego zaświadczenia oraz składania sprawozdań z udzielonej pomocy publicznej do właściwej instytucji spoczywa na Pośredniku Finansowym, zgodnie z  odpowiednimi przepisami. </w:t>
      </w:r>
    </w:p>
    <w:p w:rsidR="00B8365B" w:rsidRPr="00902F60" w:rsidRDefault="00B8365B" w:rsidP="001606FE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zgodnie z Komunikatem Komisji Europejskiej nr 2008/C 14/02.</w:t>
      </w:r>
    </w:p>
    <w:p w:rsidR="00B8365B" w:rsidRPr="00902F60" w:rsidRDefault="00B8365B" w:rsidP="001606FE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:rsidR="00B8365B" w:rsidRPr="00902F60" w:rsidRDefault="00B8365B" w:rsidP="001606FE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902F60">
        <w:rPr>
          <w:rFonts w:ascii="Arial" w:eastAsia="Times New Roman" w:hAnsi="Arial"/>
          <w:i/>
          <w:color w:val="000000"/>
          <w:kern w:val="0"/>
          <w:sz w:val="20"/>
          <w:szCs w:val="20"/>
          <w:lang w:eastAsia="ar-SA" w:bidi="ar-SA"/>
        </w:rPr>
        <w:t xml:space="preserve">de </w:t>
      </w:r>
      <w:proofErr w:type="spellStart"/>
      <w:r w:rsidRPr="00902F60">
        <w:rPr>
          <w:rFonts w:ascii="Arial" w:eastAsia="Times New Roman" w:hAnsi="Arial"/>
          <w:i/>
          <w:color w:val="000000"/>
          <w:kern w:val="0"/>
          <w:sz w:val="20"/>
          <w:szCs w:val="20"/>
          <w:lang w:eastAsia="ar-SA" w:bidi="ar-SA"/>
        </w:rPr>
        <w:t>minimis</w:t>
      </w:r>
      <w:proofErr w:type="spellEnd"/>
      <w:r w:rsidRPr="00902F60">
        <w:rPr>
          <w:rFonts w:ascii="Arial" w:eastAsia="Times New Roman" w:hAnsi="Arial"/>
          <w:i/>
          <w:color w:val="000000"/>
          <w:kern w:val="0"/>
          <w:sz w:val="20"/>
          <w:szCs w:val="20"/>
          <w:lang w:eastAsia="ar-SA" w:bidi="ar-SA"/>
        </w:rPr>
        <w:t>,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:rsidR="00B8365B" w:rsidRPr="00902F60" w:rsidRDefault="00B8365B" w:rsidP="001606FE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13</w:t>
      </w:r>
    </w:p>
    <w:p w:rsidR="00B8365B" w:rsidRPr="00902F60" w:rsidRDefault="00B8365B" w:rsidP="001606FE">
      <w:pPr>
        <w:numPr>
          <w:ilvl w:val="0"/>
          <w:numId w:val="6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Maksymalny okres spłaty pożyczki z uwzględnieniem karencji wynosi 84 miesiące liczone od dnia uruchomienia pożyczki</w:t>
      </w:r>
      <w:r w:rsidRPr="00902F60">
        <w:rPr>
          <w:rFonts w:ascii="Arial" w:eastAsia="Times New Roman" w:hAnsi="Arial"/>
          <w:color w:val="92D050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6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Maksymalny okres karencji w spłacie kapitału wynosi 6 miesięcy od dnia uruchomienia pożyczki.</w:t>
      </w:r>
    </w:p>
    <w:p w:rsidR="00B8365B" w:rsidRPr="00902F60" w:rsidRDefault="00B8365B" w:rsidP="001606FE">
      <w:pPr>
        <w:numPr>
          <w:ilvl w:val="0"/>
          <w:numId w:val="6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</w:t>
      </w:r>
      <w:r w:rsidR="00A071AC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14</w:t>
      </w:r>
    </w:p>
    <w:p w:rsidR="00B8365B" w:rsidRPr="00902F60" w:rsidRDefault="00B8365B" w:rsidP="008C0E9D">
      <w:pPr>
        <w:spacing w:before="120" w:line="240" w:lineRule="auto"/>
        <w:ind w:left="0" w:firstLine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Okres spłaty pożyczki oraz ewentualny okres karencji w spłac</w:t>
      </w:r>
      <w:r w:rsidR="00F34C8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ie kapitału jest ustalany przez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Pożyczkodawcę każdorazowo w umowie pożyczki.</w:t>
      </w:r>
    </w:p>
    <w:p w:rsidR="00B8365B" w:rsidRPr="00902F60" w:rsidRDefault="00B8365B" w:rsidP="008C0E9D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15</w:t>
      </w:r>
    </w:p>
    <w:p w:rsidR="00B8365B" w:rsidRPr="00902F60" w:rsidRDefault="00B8365B" w:rsidP="001606FE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Warunkiem wystąpienia o udzielenie pożyczki jest złożenie,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przez </w:t>
      </w:r>
      <w:r w:rsidR="00FA0E09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 udzielenie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pożyczki zwanego dalej wnioskiem pożyczkowym.</w:t>
      </w:r>
    </w:p>
    <w:p w:rsidR="009B18F6" w:rsidRPr="00902F60" w:rsidRDefault="00FA0E09" w:rsidP="001606FE">
      <w:pPr>
        <w:pStyle w:val="Akapitzlist"/>
        <w:numPr>
          <w:ilvl w:val="0"/>
          <w:numId w:val="15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Wnioskodawca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składa wniosek o przyznanie pożyczki, wraz z kompletem dokumentów, bezpośrednio</w:t>
      </w:r>
      <w:r w:rsidR="004907D5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w biurach </w:t>
      </w:r>
      <w:r w:rsidR="00105F3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wybranego 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Pożyczkodawcy tj.</w:t>
      </w:r>
      <w:r w:rsidR="00105F3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 </w:t>
      </w:r>
      <w:r w:rsidR="00E2413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MARR 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SA, TARR SA, </w:t>
      </w:r>
      <w:r w:rsidR="00AC1019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lub 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ARMZ SA, 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lub</w:t>
      </w:r>
      <w:r w:rsidR="002E4BD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w t</w:t>
      </w:r>
      <w:r w:rsidR="00340815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e</w:t>
      </w:r>
      <w:r w:rsidR="00CD658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rminie do </w:t>
      </w:r>
      <w:r w:rsidR="00B35E10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1</w:t>
      </w:r>
      <w:r w:rsidR="00CF5F7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4</w:t>
      </w:r>
      <w:r w:rsidR="00CD658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:rsidR="009B18F6" w:rsidRPr="00902F60" w:rsidRDefault="009B18F6" w:rsidP="001606FE">
      <w:pPr>
        <w:pStyle w:val="Akapitzlist"/>
        <w:numPr>
          <w:ilvl w:val="0"/>
          <w:numId w:val="15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Wnioski rozpatrywane są przez Pośrednika Finansowego wg kolejności w jakiej do niego wpłynęły.</w:t>
      </w:r>
    </w:p>
    <w:p w:rsidR="009B18F6" w:rsidRPr="00902F60" w:rsidRDefault="009B18F6" w:rsidP="001606FE">
      <w:pPr>
        <w:pStyle w:val="Akapitzlist"/>
        <w:numPr>
          <w:ilvl w:val="0"/>
          <w:numId w:val="15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BGK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a</w:t>
      </w:r>
      <w:r w:rsidR="00105F3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 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Konsorcjum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. Dokumentacja związana z naborem wniosków, w tym wzór wniosku wraz z informacją o wymaganych dokumentach, dostępne są na stronach internetowych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każdego z członków Konsorcjum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MARR SA, TARR SA,</w:t>
      </w:r>
      <w:r w:rsidR="00AC1019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lub</w:t>
      </w:r>
      <w:r w:rsidR="00890F51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AC1019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ARMZ SA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).</w:t>
      </w:r>
    </w:p>
    <w:p w:rsidR="009B18F6" w:rsidRPr="00902F60" w:rsidRDefault="009B18F6" w:rsidP="001606FE">
      <w:pPr>
        <w:pStyle w:val="Akapitzlist"/>
        <w:numPr>
          <w:ilvl w:val="0"/>
          <w:numId w:val="15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lastRenderedPageBreak/>
        <w:t xml:space="preserve"> W przypadku braku okresowo wolnych środków Pośrednik Finansowy informuje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Wnioskodawcę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BGK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.</w:t>
      </w:r>
    </w:p>
    <w:p w:rsidR="009B18F6" w:rsidRPr="00902F60" w:rsidRDefault="009B18F6" w:rsidP="001606FE">
      <w:pPr>
        <w:pStyle w:val="Akapitzlist"/>
        <w:numPr>
          <w:ilvl w:val="0"/>
          <w:numId w:val="15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Równolegle, w przypadku stwierdzenia braku wymaganych dokumentów lub wystąpienia innych nieprawidłowości, Pośrednik Finansowy zawiadamia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Wnioskodawcę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przez Wnioskodawcę 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dostarczonej</w:t>
      </w:r>
      <w:r w:rsidR="006B5AE5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przez niego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dokumentacji</w:t>
      </w:r>
      <w:r w:rsidR="005D0239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. Wnioskodawca ma obowiązek uzupełnienia dokumentacji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Wnioskodawcy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- bez rozpatrzenia.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16</w:t>
      </w:r>
    </w:p>
    <w:p w:rsidR="00B8365B" w:rsidRPr="00902F60" w:rsidRDefault="00B8365B" w:rsidP="001606FE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:rsidR="00A071AC" w:rsidRPr="00902F60" w:rsidRDefault="002E4BD1" w:rsidP="001606FE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z</w:t>
      </w:r>
      <w:r w:rsidR="00A071AC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:rsidR="00A071AC" w:rsidRPr="00902F60" w:rsidRDefault="00A071AC" w:rsidP="001606FE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zaświadczenia o niezaleganiu wobec ZUS i US wystawione nie wcześniej niż na 1 miesiąc przed  dniem składania wniosku pożyczkowego lub w uzasadnionych przypadkach stosowne oświadczenia Wnioskodawcy </w:t>
      </w:r>
    </w:p>
    <w:p w:rsidR="00A071AC" w:rsidRPr="00902F60" w:rsidRDefault="00A071AC" w:rsidP="001606FE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pożyczkowego</w:t>
      </w:r>
      <w:r w:rsidR="00A0251D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A071AC" w:rsidRPr="00902F60" w:rsidRDefault="00A071AC" w:rsidP="001606FE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innych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ni</w:t>
      </w:r>
      <w:r w:rsidR="00987F23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ż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wymienion</w:t>
      </w:r>
      <w:r w:rsidR="00987F23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e w ust. 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1.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17</w:t>
      </w:r>
    </w:p>
    <w:p w:rsidR="004907D5" w:rsidRPr="00902F60" w:rsidRDefault="00B8365B" w:rsidP="001606FE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do rozpatrzenia Analitykowi  celem sporządzenia jego oceny.</w:t>
      </w:r>
    </w:p>
    <w:p w:rsidR="00461209" w:rsidRPr="00902F60" w:rsidRDefault="00B8365B" w:rsidP="001606FE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540AA0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2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do niniejszego regulaminu.</w:t>
      </w:r>
    </w:p>
    <w:p w:rsidR="00B8365B" w:rsidRPr="00902F60" w:rsidRDefault="00461209" w:rsidP="001606FE">
      <w:pPr>
        <w:pStyle w:val="Akapitzlist"/>
        <w:numPr>
          <w:ilvl w:val="0"/>
          <w:numId w:val="7"/>
        </w:numPr>
        <w:spacing w:before="120" w:line="24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B8365B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Jeżeli Analityk pozostaje w konflikcie interesów, zostaje  wyłączony z rozpatrywania wniosku pożyczkowego, w takim przypadku analizy dokonuje inna osoba wyznaczona przez organ wykonawczy właściwego Pożyczkodawcy.</w:t>
      </w:r>
    </w:p>
    <w:p w:rsidR="00B8365B" w:rsidRPr="00902F60" w:rsidRDefault="0018146B" w:rsidP="008C0E9D">
      <w:pPr>
        <w:spacing w:before="120" w:line="240" w:lineRule="auto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18</w:t>
      </w:r>
    </w:p>
    <w:p w:rsidR="00B8365B" w:rsidRPr="00902F60" w:rsidRDefault="00B8365B" w:rsidP="001606FE">
      <w:pPr>
        <w:numPr>
          <w:ilvl w:val="0"/>
          <w:numId w:val="17"/>
        </w:numPr>
        <w:spacing w:before="120" w:line="240" w:lineRule="auto"/>
        <w:ind w:left="426" w:hanging="426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:rsidR="00B8365B" w:rsidRPr="00902F60" w:rsidRDefault="00B8365B" w:rsidP="001606FE">
      <w:pPr>
        <w:numPr>
          <w:ilvl w:val="0"/>
          <w:numId w:val="28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:rsidR="00B8365B" w:rsidRPr="00902F60" w:rsidRDefault="00B8365B" w:rsidP="001606FE">
      <w:pPr>
        <w:numPr>
          <w:ilvl w:val="0"/>
          <w:numId w:val="28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:rsidR="00B8365B" w:rsidRPr="00902F60" w:rsidRDefault="00B8365B" w:rsidP="001606FE">
      <w:pPr>
        <w:numPr>
          <w:ilvl w:val="1"/>
          <w:numId w:val="29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:rsidR="00E05056" w:rsidRPr="00902F60" w:rsidRDefault="00E05056" w:rsidP="001606FE">
      <w:pPr>
        <w:numPr>
          <w:ilvl w:val="0"/>
          <w:numId w:val="17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:rsidR="00B8365B" w:rsidRPr="00902F60" w:rsidRDefault="00B8365B" w:rsidP="001606FE">
      <w:pPr>
        <w:numPr>
          <w:ilvl w:val="0"/>
          <w:numId w:val="17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Analityk po rozpatrzeniu wniosku</w:t>
      </w:r>
      <w:r w:rsidR="00037382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 przedstawia swoją analizę Komisji Pożyczkowej, która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:rsidR="00B8365B" w:rsidRPr="00902F60" w:rsidRDefault="00B8365B" w:rsidP="001606FE">
      <w:pPr>
        <w:numPr>
          <w:ilvl w:val="0"/>
          <w:numId w:val="17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:rsidR="00B8365B" w:rsidRPr="00902F60" w:rsidRDefault="00B8365B" w:rsidP="001606FE">
      <w:pPr>
        <w:numPr>
          <w:ilvl w:val="0"/>
          <w:numId w:val="17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 xml:space="preserve">§ 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19</w:t>
      </w:r>
    </w:p>
    <w:p w:rsidR="00B8365B" w:rsidRPr="00902F60" w:rsidRDefault="00B8365B" w:rsidP="008C0E9D">
      <w:pPr>
        <w:spacing w:before="120" w:line="240" w:lineRule="auto"/>
        <w:ind w:left="0" w:firstLine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opinii końcowej</w:t>
      </w:r>
      <w:r w:rsidR="00D5554F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D56DC9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wydanej </w:t>
      </w:r>
      <w:r w:rsidR="00D5554F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przez Komisję</w:t>
      </w:r>
      <w:r w:rsidR="006C7FE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Pożyczkową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, </w:t>
      </w:r>
      <w:r w:rsidR="00D5554F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wniosek przedkładany jest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="00E05056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organowi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wykonawczemu właściwego Pożyczkodawcy.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0</w:t>
      </w:r>
    </w:p>
    <w:p w:rsidR="00B8365B" w:rsidRPr="00902F60" w:rsidRDefault="00B8365B" w:rsidP="001606FE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/zarządzenie</w:t>
      </w:r>
      <w:r w:rsidR="00A0251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/decyzję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o przyznaniu pożyczki lub o odmowie jej przyznania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</w:t>
      </w:r>
      <w:r w:rsidR="0014749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terminie </w:t>
      </w:r>
      <w:r w:rsidR="00A0251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do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:rsidR="00B8365B" w:rsidRPr="00902F60" w:rsidRDefault="00B8365B" w:rsidP="001606FE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Postanowienia § </w:t>
      </w:r>
      <w:r w:rsidR="0018146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17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ust.2 i ust.3 stosuje się odpowiednio do Członków organu wykonawczego  właściwego Pożyczkodawcy </w:t>
      </w:r>
      <w:r w:rsidR="00CD658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oraz każdego z członków Komisji Pożyczkowej.</w:t>
      </w:r>
    </w:p>
    <w:p w:rsidR="00B8365B" w:rsidRPr="00902F60" w:rsidRDefault="00B8365B" w:rsidP="001606FE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 podjętej uchwale</w:t>
      </w:r>
      <w:r w:rsidR="00FE444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/zarządzeniu</w:t>
      </w:r>
      <w:r w:rsidR="00A0251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/decyzji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 zostaje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powiadomiony pisemnie za pośrednictwem mail/fax/poczty w terminie do 7 dni od daty podjęcia uchwały</w:t>
      </w:r>
      <w:r w:rsidR="00FE444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/zarządzenia</w:t>
      </w:r>
      <w:r w:rsidR="007D4D1F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/decyzji.</w:t>
      </w:r>
    </w:p>
    <w:p w:rsidR="00B8365B" w:rsidRPr="00902F60" w:rsidRDefault="00B8365B" w:rsidP="001606FE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Uchwały</w:t>
      </w:r>
      <w:r w:rsidR="00FE4443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/zarządzenia</w:t>
      </w:r>
      <w:r w:rsidR="00A0251D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/decyzje</w:t>
      </w:r>
      <w:r w:rsidR="0014749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o których mowa w ust. 1 nie podlegają zaskarżeniu.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1</w:t>
      </w:r>
    </w:p>
    <w:p w:rsidR="00B8365B" w:rsidRPr="00902F60" w:rsidRDefault="00B8365B" w:rsidP="008C0E9D">
      <w:pPr>
        <w:spacing w:before="120" w:line="240" w:lineRule="auto"/>
        <w:ind w:left="0" w:firstLine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 xml:space="preserve">§ 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22</w:t>
      </w:r>
    </w:p>
    <w:p w:rsidR="00B8365B" w:rsidRPr="00902F60" w:rsidRDefault="00B8365B" w:rsidP="001606FE">
      <w:pPr>
        <w:pStyle w:val="Akapitzlist"/>
        <w:numPr>
          <w:ilvl w:val="0"/>
          <w:numId w:val="18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W terminie </w:t>
      </w:r>
      <w:r w:rsidRPr="00902F6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14 dni 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od daty otrzymania informacji o przyznaniu pożyczki, Wnioskodawca któremu przyznano pożyczkę jest zobowiązany, pod rygorem utraty prawa do pożyczki do:</w:t>
      </w:r>
    </w:p>
    <w:p w:rsidR="00FE4443" w:rsidRPr="00902F60" w:rsidRDefault="00FE4443" w:rsidP="001606FE">
      <w:pPr>
        <w:pStyle w:val="Akapitzlist"/>
        <w:numPr>
          <w:ilvl w:val="6"/>
          <w:numId w:val="30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której wzór stanowi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załącznik do </w:t>
      </w:r>
      <w:r w:rsidR="00B11324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Uchwały Zarządu MARR SA</w:t>
      </w:r>
      <w:r w:rsidR="00D574BA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(tj. Zarządu lidera Konsorcjum)</w:t>
      </w:r>
      <w:r w:rsidR="00B11324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.</w:t>
      </w:r>
    </w:p>
    <w:p w:rsidR="000425CF" w:rsidRPr="00902F60" w:rsidRDefault="00FE4443" w:rsidP="001606FE">
      <w:pPr>
        <w:pStyle w:val="Akapitzlist"/>
        <w:numPr>
          <w:ilvl w:val="6"/>
          <w:numId w:val="30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902F60">
        <w:rPr>
          <w:rFonts w:ascii="Arial" w:hAnsi="Arial" w:cs="Arial"/>
          <w:sz w:val="20"/>
          <w:szCs w:val="20"/>
        </w:rPr>
        <w:t xml:space="preserve"> </w:t>
      </w:r>
      <w:r w:rsidR="007570BD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 i</w:t>
      </w:r>
      <w:r w:rsidR="00036CEB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le co innego nie wynika z Umowy Inwestycyjnej,</w:t>
      </w:r>
    </w:p>
    <w:p w:rsidR="00570A2C" w:rsidRPr="00902F60" w:rsidRDefault="00570A2C" w:rsidP="001606FE">
      <w:pPr>
        <w:pStyle w:val="Akapitzlist"/>
        <w:numPr>
          <w:ilvl w:val="6"/>
          <w:numId w:val="30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dokonania ustalonych w trybie §8 zabezpieczeń, o i</w:t>
      </w:r>
      <w:r w:rsidR="00036CEB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le co innego nie wynika z Umowy Inwestycyjnej,</w:t>
      </w:r>
    </w:p>
    <w:p w:rsidR="00FE4443" w:rsidRPr="00902F60" w:rsidRDefault="00FE4443" w:rsidP="001606FE">
      <w:pPr>
        <w:pStyle w:val="Akapitzlist"/>
        <w:numPr>
          <w:ilvl w:val="6"/>
          <w:numId w:val="30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:rsidR="00FE4443" w:rsidRPr="00902F60" w:rsidRDefault="00FE4443" w:rsidP="001606FE">
      <w:pPr>
        <w:pStyle w:val="Akapitzlist"/>
        <w:numPr>
          <w:ilvl w:val="0"/>
          <w:numId w:val="18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 uza</w:t>
      </w:r>
      <w:r w:rsidR="00036CEB"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sadnionych przypadkach, za zgodą</w:t>
      </w:r>
      <w:r w:rsidRPr="00902F60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:rsidR="00B8365B" w:rsidRPr="00902F60" w:rsidRDefault="00B8365B" w:rsidP="00C264B6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3</w:t>
      </w:r>
    </w:p>
    <w:p w:rsidR="00B8365B" w:rsidRPr="00902F60" w:rsidRDefault="00B8365B" w:rsidP="001606FE">
      <w:pPr>
        <w:numPr>
          <w:ilvl w:val="0"/>
          <w:numId w:val="2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Wypłata pożyczki następuje po wykonaniu przez Pożyczkobiorcę obowiązków określonych w § 2</w:t>
      </w:r>
      <w:r w:rsidR="00D574BA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2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2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Wypłata pożyczki na realizację wskazanego w Umowie pożyczki  przedsięwzięcia, następuje jednorazowo lub w transzach.</w:t>
      </w:r>
    </w:p>
    <w:p w:rsidR="00B8365B" w:rsidRPr="00902F60" w:rsidRDefault="00B8365B" w:rsidP="001606FE">
      <w:pPr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Wypłata pożyczki następuje w walucie polskiej.</w:t>
      </w:r>
    </w:p>
    <w:p w:rsidR="00B8365B" w:rsidRPr="00902F60" w:rsidRDefault="00B8365B" w:rsidP="001606FE">
      <w:pPr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wypłaty pożyczki reguluje Umowa Inwestycyjna.</w:t>
      </w:r>
    </w:p>
    <w:p w:rsidR="00B8365B" w:rsidRPr="00902F60" w:rsidRDefault="00B8365B" w:rsidP="001606FE">
      <w:pPr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4</w:t>
      </w:r>
    </w:p>
    <w:p w:rsidR="00B8365B" w:rsidRPr="00902F60" w:rsidRDefault="00B8365B" w:rsidP="001606FE">
      <w:pPr>
        <w:numPr>
          <w:ilvl w:val="0"/>
          <w:numId w:val="3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Pożyczkobiorca jest zobowiązany do rozliczenia pożyczki na zasadach określonych w</w:t>
      </w:r>
      <w:r w:rsidR="00E62E10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Umowie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pożyczki w terminie 90 dni kalendarzowych od daty jej całkowitej wypłaty do Pożyczkobiorcy. W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wyjątkowych przypadkach, jeżeli Pożyczkobiorca nie rozliczy pożyczki z przyczyn przez niego niezawinionych Pożyczkodawc</w:t>
      </w:r>
      <w:r w:rsidR="00947DCB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wyrazić zgodę na zmianę terminu rozliczenia. Termin ten może ulec wydłużeniu maksymalnie o 90 dni kalendarzowych. </w:t>
      </w:r>
    </w:p>
    <w:p w:rsidR="00B8365B" w:rsidRPr="00902F60" w:rsidRDefault="00B8365B" w:rsidP="001606FE">
      <w:pPr>
        <w:numPr>
          <w:ilvl w:val="0"/>
          <w:numId w:val="3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rozliczenia pożyczki, Pożyczkobiorca przedstawia:</w:t>
      </w:r>
    </w:p>
    <w:p w:rsidR="00B8365B" w:rsidRPr="00902F60" w:rsidRDefault="00B8365B" w:rsidP="001606FE">
      <w:pPr>
        <w:numPr>
          <w:ilvl w:val="0"/>
          <w:numId w:val="31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dowody zakupu towarów i usług</w:t>
      </w:r>
      <w:r w:rsidR="00FE4443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(faktury, rachunki, umowy kupna-sprzedaży, inne za zgodą Pożyczkodawcy)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 potwierdzające wydatkowanie środków zgodnie z celem, na jaki zostały przyznane</w:t>
      </w:r>
      <w:r w:rsidR="00820771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:rsidR="00B8365B" w:rsidRPr="00902F60" w:rsidRDefault="00B8365B" w:rsidP="001606FE">
      <w:pPr>
        <w:numPr>
          <w:ilvl w:val="0"/>
          <w:numId w:val="31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:rsidR="00B8365B" w:rsidRPr="00902F60" w:rsidRDefault="00B8365B" w:rsidP="001606FE">
      <w:pPr>
        <w:numPr>
          <w:ilvl w:val="0"/>
          <w:numId w:val="3"/>
        </w:numPr>
        <w:tabs>
          <w:tab w:val="clear" w:pos="720"/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Pożyczkobiorca w każdym przypadku w ramach monitoringu przedsięwzięcia jest zobowiązany na żądanie Pożyczkodawcy przedstawić dokumenty o których mowa w ust. 2 a także umożliwić oględziny </w:t>
      </w:r>
      <w:r w:rsidR="006F41C7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przedmiotu inwestycji oraz </w:t>
      </w: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miejsca realizacji przedsięwzięcia.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:rsidR="00B8365B" w:rsidRPr="00902F60" w:rsidRDefault="00B8365B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:rsidR="00B8365B" w:rsidRPr="00902F60" w:rsidRDefault="00B8365B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:rsidR="007B3D40" w:rsidRPr="00902F60" w:rsidRDefault="00B8365B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:rsidR="007B3D40" w:rsidRPr="00902F60" w:rsidRDefault="007B3D40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:rsidR="007B3D40" w:rsidRPr="00902F60" w:rsidRDefault="007B3D40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902F60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3"/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:rsidR="000C4F41" w:rsidRPr="00902F60" w:rsidRDefault="007B3D40" w:rsidP="001606FE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902F60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6</w:t>
      </w:r>
    </w:p>
    <w:p w:rsidR="009826FE" w:rsidRPr="00902F60" w:rsidRDefault="009826FE" w:rsidP="001606FE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W szczególności Pożyczkobiorca jest zobowiązany do: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902F60">
        <w:rPr>
          <w:rFonts w:ascii="Arial" w:hAnsi="Arial" w:cs="Arial"/>
          <w:spacing w:val="-2"/>
          <w:sz w:val="20"/>
          <w:szCs w:val="20"/>
        </w:rPr>
        <w:t> </w:t>
      </w:r>
      <w:r w:rsidRPr="00902F60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Pr="00902F60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902F60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902F60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902F60">
        <w:rPr>
          <w:rFonts w:ascii="Arial" w:hAnsi="Arial" w:cs="Arial"/>
          <w:spacing w:val="-2"/>
          <w:sz w:val="20"/>
          <w:szCs w:val="20"/>
        </w:rPr>
        <w:t> </w:t>
      </w:r>
      <w:r w:rsidRPr="00902F60">
        <w:rPr>
          <w:rFonts w:ascii="Arial" w:hAnsi="Arial" w:cs="Arial"/>
          <w:spacing w:val="-2"/>
          <w:sz w:val="20"/>
          <w:szCs w:val="20"/>
        </w:rPr>
        <w:t>Inwestycją;</w:t>
      </w:r>
    </w:p>
    <w:p w:rsidR="009826FE" w:rsidRPr="00902F60" w:rsidRDefault="00DD2102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902F60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="009826FE" w:rsidRPr="00902F60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9826FE" w:rsidRPr="00902F60" w:rsidRDefault="00DD2102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lastRenderedPageBreak/>
        <w:t xml:space="preserve">przestrzegania </w:t>
      </w:r>
      <w:r w:rsidR="009826FE" w:rsidRPr="00902F60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="009826FE" w:rsidRPr="00902F60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902F60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Pr="00902F60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902F60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902F60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902F60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902F60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902F60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902F60">
        <w:rPr>
          <w:rFonts w:ascii="Arial" w:hAnsi="Arial" w:cs="Arial"/>
          <w:spacing w:val="-2"/>
          <w:sz w:val="20"/>
          <w:szCs w:val="20"/>
        </w:rPr>
        <w:t>przez pożyczkodawcę</w:t>
      </w:r>
      <w:r w:rsidRPr="00902F60">
        <w:rPr>
          <w:rFonts w:ascii="Arial" w:hAnsi="Arial" w:cs="Arial"/>
          <w:spacing w:val="-2"/>
          <w:sz w:val="20"/>
          <w:szCs w:val="20"/>
        </w:rPr>
        <w:t>;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Pr="00902F60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9826FE" w:rsidRPr="00902F60" w:rsidRDefault="009826FE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902F60">
        <w:rPr>
          <w:rFonts w:ascii="Arial" w:hAnsi="Arial" w:cs="Arial"/>
          <w:spacing w:val="-2"/>
          <w:sz w:val="20"/>
          <w:szCs w:val="20"/>
        </w:rPr>
        <w:t> </w:t>
      </w:r>
      <w:r w:rsidRPr="00902F60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:rsidR="009826FE" w:rsidRPr="00902F60" w:rsidRDefault="00DD2102" w:rsidP="001606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902F60">
        <w:rPr>
          <w:rFonts w:ascii="Arial" w:hAnsi="Arial" w:cs="Arial"/>
          <w:spacing w:val="-2"/>
          <w:sz w:val="20"/>
          <w:szCs w:val="20"/>
        </w:rPr>
        <w:t>respektowania w</w:t>
      </w:r>
      <w:r w:rsidR="009826FE" w:rsidRPr="00902F60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902F60">
        <w:rPr>
          <w:rFonts w:ascii="Arial" w:hAnsi="Arial" w:cs="Arial"/>
          <w:spacing w:val="-2"/>
          <w:sz w:val="20"/>
          <w:szCs w:val="20"/>
        </w:rPr>
        <w:t>BGK</w:t>
      </w:r>
      <w:r w:rsidR="009826FE" w:rsidRPr="00902F60">
        <w:rPr>
          <w:rFonts w:ascii="Arial" w:hAnsi="Arial" w:cs="Arial"/>
          <w:spacing w:val="-2"/>
          <w:sz w:val="20"/>
          <w:szCs w:val="20"/>
        </w:rPr>
        <w:t>.</w:t>
      </w:r>
    </w:p>
    <w:p w:rsidR="00EC7DF1" w:rsidRPr="00902F60" w:rsidRDefault="00490D81" w:rsidP="001606FE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rzepisani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e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lub przeniesieni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e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e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lub przeniesieni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e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) przez Pośrednika Finansowego na rzecz BGK (lub na rzecz wskazanego przez BGK następcy Pośrednika Finansowego), wszystkich praw i obowiązków Pośrednika Finansowego wynikających z wszelkich umów lub dokumentów ustanawiających zabezpieczenie, 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dokonane będzie </w:t>
      </w:r>
      <w:r w:rsidR="00EC7DF1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902F6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, chyba że BGK wskaże takie warunki.</w:t>
      </w:r>
    </w:p>
    <w:p w:rsidR="00B8365B" w:rsidRPr="00902F60" w:rsidRDefault="00B8365B" w:rsidP="008C0E9D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7</w:t>
      </w:r>
    </w:p>
    <w:p w:rsidR="00B8365B" w:rsidRPr="00902F60" w:rsidRDefault="00B8365B" w:rsidP="001606FE">
      <w:pPr>
        <w:numPr>
          <w:ilvl w:val="0"/>
          <w:numId w:val="8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W przypadku zaistnienia przesłanek wypowiedzenia </w:t>
      </w:r>
      <w:r w:rsidRPr="00902F60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pożyczki Administrator sporządza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odpowiednią informację dla organu wykonawczego właściwego </w:t>
      </w:r>
      <w:r w:rsidR="00A14B58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Pożyczkodawcy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1606FE">
      <w:pPr>
        <w:numPr>
          <w:ilvl w:val="0"/>
          <w:numId w:val="8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Inwestycyjnej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.</w:t>
      </w:r>
    </w:p>
    <w:p w:rsidR="00B8365B" w:rsidRPr="00902F60" w:rsidRDefault="00B8365B" w:rsidP="008C0E9D">
      <w:pPr>
        <w:spacing w:before="120" w:line="240" w:lineRule="auto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 2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8</w:t>
      </w:r>
    </w:p>
    <w:p w:rsidR="00B8365B" w:rsidRPr="00902F60" w:rsidRDefault="00B8365B" w:rsidP="008C0E9D">
      <w:pPr>
        <w:spacing w:before="120" w:line="240" w:lineRule="auto"/>
        <w:ind w:left="0" w:firstLine="0"/>
        <w:jc w:val="both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mowy</w:t>
      </w:r>
      <w:r w:rsidR="000C6ABF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Inwestycyjnej</w:t>
      </w:r>
      <w:r w:rsidR="001564E5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,</w:t>
      </w:r>
      <w:r w:rsidR="000C6ABF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 w:rsidR="001564E5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z wykorzystaniem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 ustanowionych zabezpieczeń.</w:t>
      </w:r>
    </w:p>
    <w:p w:rsidR="009D2A0E" w:rsidRPr="00902F60" w:rsidRDefault="00B8365B" w:rsidP="008C0E9D">
      <w:pPr>
        <w:spacing w:before="120" w:line="240" w:lineRule="auto"/>
        <w:jc w:val="center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§</w:t>
      </w:r>
      <w:r w:rsidR="00D574BA" w:rsidRPr="00902F60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ar-SA" w:bidi="ar-SA"/>
        </w:rPr>
        <w:t>29</w:t>
      </w:r>
    </w:p>
    <w:p w:rsidR="005D64D7" w:rsidRPr="00902F60" w:rsidRDefault="009D2A0E" w:rsidP="00902F60">
      <w:pPr>
        <w:spacing w:before="120" w:line="240" w:lineRule="auto"/>
        <w:ind w:hanging="714"/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 xml:space="preserve">Zmiana </w:t>
      </w:r>
      <w:r w:rsidR="009106AF"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r</w:t>
      </w:r>
      <w:r w:rsidRPr="00902F60">
        <w:rPr>
          <w:rFonts w:ascii="Arial" w:eastAsia="Times New Roman" w:hAnsi="Arial"/>
          <w:bCs/>
          <w:color w:val="000000"/>
          <w:kern w:val="0"/>
          <w:sz w:val="20"/>
          <w:szCs w:val="20"/>
          <w:lang w:eastAsia="ar-SA" w:bidi="ar-SA"/>
        </w:rPr>
        <w:t>egulaminu następuje w trybie właściwym do jego uchwalenia.</w:t>
      </w:r>
    </w:p>
    <w:p w:rsidR="008301C5" w:rsidRPr="00902F60" w:rsidRDefault="00B8365B" w:rsidP="00902F60">
      <w:pPr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Załączniki:</w:t>
      </w:r>
    </w:p>
    <w:p w:rsidR="00540AA0" w:rsidRPr="00902F60" w:rsidRDefault="00540AA0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GoBack"/>
      <w:bookmarkEnd w:id="0"/>
      <w:r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Wzór oświadczenia o bezstronności</w:t>
      </w:r>
      <w:r w:rsidR="00947DCB" w:rsidRPr="00902F60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B8365B" w:rsidRPr="00B20132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2013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1564E5" w:rsidRPr="00B2013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B8365B" w:rsidRPr="00B20132" w:rsidRDefault="00B8365B" w:rsidP="008C0E9D">
      <w:pPr>
        <w:spacing w:before="120" w:line="240" w:lineRule="auto"/>
        <w:jc w:val="right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B8365B" w:rsidRPr="00B20132" w:rsidRDefault="00B8365B" w:rsidP="008C0E9D">
      <w:pPr>
        <w:spacing w:before="120" w:line="240" w:lineRule="auto"/>
        <w:ind w:left="0" w:firstLine="0"/>
        <w:rPr>
          <w:rFonts w:ascii="Arial" w:hAnsi="Arial"/>
          <w:sz w:val="20"/>
          <w:szCs w:val="20"/>
        </w:rPr>
      </w:pPr>
    </w:p>
    <w:sectPr w:rsidR="00B8365B" w:rsidRPr="00B20132" w:rsidSect="009F0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493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31" w:rsidRDefault="0026613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66131" w:rsidRDefault="0026613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F" w:rsidRDefault="00417E7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52" w:rsidRDefault="009F0752" w:rsidP="009F0752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52ACE8C3" wp14:editId="4E6A6B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839" w:rsidRPr="009F0752" w:rsidRDefault="00EE5839" w:rsidP="009F0752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F" w:rsidRDefault="00417E7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31" w:rsidRDefault="0026613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66131" w:rsidRDefault="00266131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</w:t>
      </w:r>
      <w:proofErr w:type="spellStart"/>
      <w:r>
        <w:t>up</w:t>
      </w:r>
      <w:proofErr w:type="spellEnd"/>
      <w:r>
        <w:t xml:space="preserve"> – zgodnie z definicją zawartą w regulaminie</w:t>
      </w:r>
    </w:p>
  </w:footnote>
  <w:footnote w:id="2">
    <w:p w:rsidR="00A0251D" w:rsidRPr="008C0E9D" w:rsidRDefault="00A0251D" w:rsidP="001606FE">
      <w:pPr>
        <w:pStyle w:val="Poziom2"/>
        <w:numPr>
          <w:ilvl w:val="0"/>
          <w:numId w:val="21"/>
        </w:numPr>
        <w:tabs>
          <w:tab w:val="clear" w:pos="1134"/>
        </w:tabs>
        <w:ind w:left="284" w:hanging="284"/>
        <w:rPr>
          <w:rFonts w:asciiTheme="minorHAnsi" w:hAnsiTheme="minorHAnsi" w:cs="Arial"/>
          <w:sz w:val="16"/>
          <w:szCs w:val="16"/>
        </w:rPr>
      </w:pPr>
      <w:r w:rsidRPr="008C0E9D">
        <w:rPr>
          <w:rStyle w:val="Odwoanieprzypisudolnego"/>
          <w:sz w:val="16"/>
          <w:szCs w:val="16"/>
        </w:rPr>
        <w:footnoteRef/>
      </w:r>
      <w:r w:rsidRPr="008C0E9D">
        <w:rPr>
          <w:rFonts w:asciiTheme="minorHAnsi" w:hAnsiTheme="minorHAnsi" w:cs="Arial"/>
          <w:b/>
          <w:sz w:val="16"/>
          <w:szCs w:val="16"/>
        </w:rPr>
        <w:t xml:space="preserve">Regionalne Inteligentne Specjalizacje </w:t>
      </w:r>
      <w:r w:rsidRPr="008C0E9D">
        <w:rPr>
          <w:rFonts w:asciiTheme="minorHAnsi" w:hAnsiTheme="minorHAnsi" w:cs="Arial"/>
          <w:sz w:val="16"/>
          <w:szCs w:val="16"/>
        </w:rPr>
        <w:t>– szczegółowy opis obszarów małopolskich inteligentnych specja</w:t>
      </w:r>
      <w:r w:rsidR="002C26B5">
        <w:rPr>
          <w:rFonts w:asciiTheme="minorHAnsi" w:hAnsiTheme="minorHAnsi" w:cs="Arial"/>
          <w:sz w:val="16"/>
          <w:szCs w:val="16"/>
        </w:rPr>
        <w:t>lizacji, został przedstawiony w </w:t>
      </w:r>
      <w:r w:rsidRPr="008C0E9D">
        <w:rPr>
          <w:rFonts w:asciiTheme="minorHAnsi" w:hAnsiTheme="minorHAnsi" w:cs="Arial"/>
          <w:sz w:val="16"/>
          <w:szCs w:val="16"/>
        </w:rPr>
        <w:t>zarysie w Regionalnej Strategii Innowacji Województwa Małopolskiego 2014-2020, zawarty w</w:t>
      </w:r>
      <w:r w:rsidRPr="008C0E9D">
        <w:rPr>
          <w:sz w:val="16"/>
          <w:szCs w:val="16"/>
        </w:rPr>
        <w:t xml:space="preserve"> </w:t>
      </w:r>
      <w:r w:rsidRPr="008C0E9D">
        <w:rPr>
          <w:rFonts w:asciiTheme="minorHAnsi" w:hAnsiTheme="minorHAnsi" w:cs="Arial"/>
          <w:sz w:val="16"/>
          <w:szCs w:val="16"/>
        </w:rPr>
        <w:t>Załączniku nr 1 do Uchwały nr 1262/15 Zarządu Województwa Małopolskiego z dnia 22 września 2015 r.;</w:t>
      </w:r>
    </w:p>
    <w:p w:rsidR="00A0251D" w:rsidRDefault="00A0251D">
      <w:pPr>
        <w:pStyle w:val="Tekstprzypisudolnego"/>
        <w:rPr>
          <w:rFonts w:hint="eastAsia"/>
        </w:rPr>
      </w:pPr>
    </w:p>
  </w:footnote>
  <w:footnote w:id="3">
    <w:p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F" w:rsidRDefault="00417E7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9" w:rsidRPr="003516C7" w:rsidRDefault="00235805" w:rsidP="009F0752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487884FC" wp14:editId="5292A1B8">
          <wp:extent cx="561975" cy="405290"/>
          <wp:effectExtent l="0" t="0" r="0" b="0"/>
          <wp:docPr id="5" name="Obraz 5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5E52F871" wp14:editId="3011F6C5">
          <wp:extent cx="609600" cy="361950"/>
          <wp:effectExtent l="0" t="0" r="0" b="0"/>
          <wp:docPr id="1" name="Obraz 1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3C34B6BD" wp14:editId="4D533BF6">
          <wp:extent cx="1104900" cy="371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0D303B44" wp14:editId="0E5E4C97">
          <wp:extent cx="790575" cy="412563"/>
          <wp:effectExtent l="0" t="0" r="0" b="6985"/>
          <wp:docPr id="4" name="Obraz 4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F" w:rsidRDefault="00417E7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8">
    <w:nsid w:val="00000013"/>
    <w:multiLevelType w:val="singleLevel"/>
    <w:tmpl w:val="E1AC00E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4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3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268A24AF"/>
    <w:multiLevelType w:val="hybridMultilevel"/>
    <w:tmpl w:val="1904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B3E207E"/>
    <w:multiLevelType w:val="multilevel"/>
    <w:tmpl w:val="746E3D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0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501767"/>
    <w:multiLevelType w:val="multilevel"/>
    <w:tmpl w:val="0DCA43E6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78583D"/>
    <w:multiLevelType w:val="hybridMultilevel"/>
    <w:tmpl w:val="B1ACA4C0"/>
    <w:lvl w:ilvl="0" w:tplc="D66EC730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9"/>
  </w:num>
  <w:num w:numId="8">
    <w:abstractNumId w:val="24"/>
  </w:num>
  <w:num w:numId="9">
    <w:abstractNumId w:val="17"/>
  </w:num>
  <w:num w:numId="10">
    <w:abstractNumId w:val="23"/>
  </w:num>
  <w:num w:numId="11">
    <w:abstractNumId w:val="38"/>
  </w:num>
  <w:num w:numId="12">
    <w:abstractNumId w:val="42"/>
  </w:num>
  <w:num w:numId="13">
    <w:abstractNumId w:val="33"/>
  </w:num>
  <w:num w:numId="14">
    <w:abstractNumId w:val="31"/>
  </w:num>
  <w:num w:numId="15">
    <w:abstractNumId w:val="21"/>
  </w:num>
  <w:num w:numId="16">
    <w:abstractNumId w:val="45"/>
  </w:num>
  <w:num w:numId="17">
    <w:abstractNumId w:val="14"/>
  </w:num>
  <w:num w:numId="18">
    <w:abstractNumId w:val="30"/>
  </w:num>
  <w:num w:numId="19">
    <w:abstractNumId w:val="39"/>
  </w:num>
  <w:num w:numId="20">
    <w:abstractNumId w:val="43"/>
  </w:num>
  <w:num w:numId="21">
    <w:abstractNumId w:val="28"/>
  </w:num>
  <w:num w:numId="22">
    <w:abstractNumId w:val="27"/>
  </w:num>
  <w:num w:numId="23">
    <w:abstractNumId w:val="36"/>
  </w:num>
  <w:num w:numId="24">
    <w:abstractNumId w:val="46"/>
  </w:num>
  <w:num w:numId="25">
    <w:abstractNumId w:val="34"/>
  </w:num>
  <w:num w:numId="26">
    <w:abstractNumId w:val="44"/>
  </w:num>
  <w:num w:numId="27">
    <w:abstractNumId w:val="32"/>
  </w:num>
  <w:num w:numId="28">
    <w:abstractNumId w:val="35"/>
  </w:num>
  <w:num w:numId="29">
    <w:abstractNumId w:val="29"/>
  </w:num>
  <w:num w:numId="30">
    <w:abstractNumId w:val="26"/>
  </w:num>
  <w:num w:numId="31">
    <w:abstractNumId w:val="22"/>
  </w:num>
  <w:num w:numId="32">
    <w:abstractNumId w:val="40"/>
  </w:num>
  <w:num w:numId="33">
    <w:abstractNumId w:val="16"/>
  </w:num>
  <w:num w:numId="34">
    <w:abstractNumId w:val="25"/>
  </w:num>
  <w:num w:numId="35">
    <w:abstractNumId w:val="20"/>
  </w:num>
  <w:num w:numId="36">
    <w:abstractNumId w:val="15"/>
  </w:num>
  <w:num w:numId="37">
    <w:abstractNumId w:val="37"/>
  </w:num>
  <w:num w:numId="38">
    <w:abstractNumId w:val="41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B"/>
    <w:rsid w:val="00002478"/>
    <w:rsid w:val="000279F4"/>
    <w:rsid w:val="000306C2"/>
    <w:rsid w:val="00035DC0"/>
    <w:rsid w:val="00036CEB"/>
    <w:rsid w:val="00037382"/>
    <w:rsid w:val="000425CF"/>
    <w:rsid w:val="00056D64"/>
    <w:rsid w:val="00080596"/>
    <w:rsid w:val="00086F91"/>
    <w:rsid w:val="00092043"/>
    <w:rsid w:val="000A2406"/>
    <w:rsid w:val="000A2762"/>
    <w:rsid w:val="000B2187"/>
    <w:rsid w:val="000B36FC"/>
    <w:rsid w:val="000C4F41"/>
    <w:rsid w:val="000C6ABF"/>
    <w:rsid w:val="000D5371"/>
    <w:rsid w:val="00105F3C"/>
    <w:rsid w:val="001243FC"/>
    <w:rsid w:val="0014749B"/>
    <w:rsid w:val="001564E5"/>
    <w:rsid w:val="0015717C"/>
    <w:rsid w:val="001606FE"/>
    <w:rsid w:val="00172BA0"/>
    <w:rsid w:val="001766E5"/>
    <w:rsid w:val="0018146B"/>
    <w:rsid w:val="00183111"/>
    <w:rsid w:val="001B2BF9"/>
    <w:rsid w:val="001D547D"/>
    <w:rsid w:val="001E41FA"/>
    <w:rsid w:val="002124A7"/>
    <w:rsid w:val="00220B9F"/>
    <w:rsid w:val="00233DE5"/>
    <w:rsid w:val="00235805"/>
    <w:rsid w:val="00264C59"/>
    <w:rsid w:val="00266131"/>
    <w:rsid w:val="002668F3"/>
    <w:rsid w:val="0027297D"/>
    <w:rsid w:val="002848BF"/>
    <w:rsid w:val="00290E55"/>
    <w:rsid w:val="002B0BB9"/>
    <w:rsid w:val="002B1E4C"/>
    <w:rsid w:val="002B4BD2"/>
    <w:rsid w:val="002B6F33"/>
    <w:rsid w:val="002C26B5"/>
    <w:rsid w:val="002C5A93"/>
    <w:rsid w:val="002D695E"/>
    <w:rsid w:val="002E15D0"/>
    <w:rsid w:val="002E2E2D"/>
    <w:rsid w:val="002E4BD1"/>
    <w:rsid w:val="002F1C94"/>
    <w:rsid w:val="002F7B7E"/>
    <w:rsid w:val="003137EA"/>
    <w:rsid w:val="00333786"/>
    <w:rsid w:val="00340815"/>
    <w:rsid w:val="003410C3"/>
    <w:rsid w:val="00347DD7"/>
    <w:rsid w:val="003508F9"/>
    <w:rsid w:val="003516C7"/>
    <w:rsid w:val="00362812"/>
    <w:rsid w:val="00365639"/>
    <w:rsid w:val="00381B62"/>
    <w:rsid w:val="0039662A"/>
    <w:rsid w:val="003A0D5C"/>
    <w:rsid w:val="003C2678"/>
    <w:rsid w:val="003C65CD"/>
    <w:rsid w:val="003D38D3"/>
    <w:rsid w:val="003F019C"/>
    <w:rsid w:val="003F49E7"/>
    <w:rsid w:val="003F5591"/>
    <w:rsid w:val="003F737E"/>
    <w:rsid w:val="00401C13"/>
    <w:rsid w:val="00410C11"/>
    <w:rsid w:val="00413100"/>
    <w:rsid w:val="00417E7F"/>
    <w:rsid w:val="00427E08"/>
    <w:rsid w:val="00434AB1"/>
    <w:rsid w:val="00457885"/>
    <w:rsid w:val="00461209"/>
    <w:rsid w:val="004672A5"/>
    <w:rsid w:val="00470ED8"/>
    <w:rsid w:val="00490006"/>
    <w:rsid w:val="004907D5"/>
    <w:rsid w:val="00490D81"/>
    <w:rsid w:val="004D168F"/>
    <w:rsid w:val="004E32B3"/>
    <w:rsid w:val="004E5368"/>
    <w:rsid w:val="004E56B1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61F55"/>
    <w:rsid w:val="00570A2C"/>
    <w:rsid w:val="00583618"/>
    <w:rsid w:val="005944EA"/>
    <w:rsid w:val="005A4B7C"/>
    <w:rsid w:val="005A6EFE"/>
    <w:rsid w:val="005D0239"/>
    <w:rsid w:val="005D3246"/>
    <w:rsid w:val="005D64D7"/>
    <w:rsid w:val="005E5865"/>
    <w:rsid w:val="005E5E47"/>
    <w:rsid w:val="006170B0"/>
    <w:rsid w:val="00625687"/>
    <w:rsid w:val="00636981"/>
    <w:rsid w:val="00640780"/>
    <w:rsid w:val="00643AA8"/>
    <w:rsid w:val="00650808"/>
    <w:rsid w:val="00676E39"/>
    <w:rsid w:val="00695DB9"/>
    <w:rsid w:val="006B5AE5"/>
    <w:rsid w:val="006C36FC"/>
    <w:rsid w:val="006C5BB3"/>
    <w:rsid w:val="006C7FED"/>
    <w:rsid w:val="006D4AED"/>
    <w:rsid w:val="006E6408"/>
    <w:rsid w:val="006F176C"/>
    <w:rsid w:val="006F41C7"/>
    <w:rsid w:val="006F5D98"/>
    <w:rsid w:val="006F6977"/>
    <w:rsid w:val="0070041A"/>
    <w:rsid w:val="00714846"/>
    <w:rsid w:val="00734CA6"/>
    <w:rsid w:val="00735076"/>
    <w:rsid w:val="00736AB1"/>
    <w:rsid w:val="00741403"/>
    <w:rsid w:val="007476FA"/>
    <w:rsid w:val="007570BD"/>
    <w:rsid w:val="00760606"/>
    <w:rsid w:val="007657F4"/>
    <w:rsid w:val="00772367"/>
    <w:rsid w:val="007776BB"/>
    <w:rsid w:val="00785432"/>
    <w:rsid w:val="007918FF"/>
    <w:rsid w:val="00793B64"/>
    <w:rsid w:val="007A0B0C"/>
    <w:rsid w:val="007A4CF1"/>
    <w:rsid w:val="007A4EA0"/>
    <w:rsid w:val="007A6EFD"/>
    <w:rsid w:val="007B3D40"/>
    <w:rsid w:val="007C16CC"/>
    <w:rsid w:val="007C468E"/>
    <w:rsid w:val="007D291B"/>
    <w:rsid w:val="007D3C89"/>
    <w:rsid w:val="007D4D1F"/>
    <w:rsid w:val="007E5505"/>
    <w:rsid w:val="008110A3"/>
    <w:rsid w:val="00812AD1"/>
    <w:rsid w:val="00817931"/>
    <w:rsid w:val="00820771"/>
    <w:rsid w:val="008263A7"/>
    <w:rsid w:val="008301C5"/>
    <w:rsid w:val="00831155"/>
    <w:rsid w:val="00836BCB"/>
    <w:rsid w:val="00843004"/>
    <w:rsid w:val="00853DF1"/>
    <w:rsid w:val="0085530C"/>
    <w:rsid w:val="00865B88"/>
    <w:rsid w:val="00890C98"/>
    <w:rsid w:val="00890F51"/>
    <w:rsid w:val="008C0E9D"/>
    <w:rsid w:val="008C5442"/>
    <w:rsid w:val="008C66B0"/>
    <w:rsid w:val="008D6F10"/>
    <w:rsid w:val="008F084A"/>
    <w:rsid w:val="00902F60"/>
    <w:rsid w:val="009106AF"/>
    <w:rsid w:val="009113A3"/>
    <w:rsid w:val="009135E4"/>
    <w:rsid w:val="00916EBF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64B8"/>
    <w:rsid w:val="009B18F6"/>
    <w:rsid w:val="009D07D8"/>
    <w:rsid w:val="009D2A0E"/>
    <w:rsid w:val="009D566B"/>
    <w:rsid w:val="009E5B01"/>
    <w:rsid w:val="009F0614"/>
    <w:rsid w:val="009F0752"/>
    <w:rsid w:val="009F20C3"/>
    <w:rsid w:val="00A0251D"/>
    <w:rsid w:val="00A071AC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91EA7"/>
    <w:rsid w:val="00A95A2F"/>
    <w:rsid w:val="00AA38AD"/>
    <w:rsid w:val="00AA558D"/>
    <w:rsid w:val="00AB638F"/>
    <w:rsid w:val="00AC1019"/>
    <w:rsid w:val="00AC40A4"/>
    <w:rsid w:val="00AE5CEA"/>
    <w:rsid w:val="00B11324"/>
    <w:rsid w:val="00B1531C"/>
    <w:rsid w:val="00B20132"/>
    <w:rsid w:val="00B312BF"/>
    <w:rsid w:val="00B31345"/>
    <w:rsid w:val="00B32F38"/>
    <w:rsid w:val="00B35E10"/>
    <w:rsid w:val="00B44331"/>
    <w:rsid w:val="00B4533B"/>
    <w:rsid w:val="00B456C9"/>
    <w:rsid w:val="00B47C23"/>
    <w:rsid w:val="00B5031E"/>
    <w:rsid w:val="00B6074E"/>
    <w:rsid w:val="00B655C7"/>
    <w:rsid w:val="00B75042"/>
    <w:rsid w:val="00B75A14"/>
    <w:rsid w:val="00B76616"/>
    <w:rsid w:val="00B81B76"/>
    <w:rsid w:val="00B8365B"/>
    <w:rsid w:val="00BA2BCC"/>
    <w:rsid w:val="00BA4414"/>
    <w:rsid w:val="00BC05B5"/>
    <w:rsid w:val="00BC2458"/>
    <w:rsid w:val="00BC4FD8"/>
    <w:rsid w:val="00BE1CC3"/>
    <w:rsid w:val="00BF28C7"/>
    <w:rsid w:val="00BF383F"/>
    <w:rsid w:val="00BF7169"/>
    <w:rsid w:val="00C06798"/>
    <w:rsid w:val="00C11D85"/>
    <w:rsid w:val="00C16438"/>
    <w:rsid w:val="00C264B6"/>
    <w:rsid w:val="00C46BAC"/>
    <w:rsid w:val="00C564E3"/>
    <w:rsid w:val="00C57535"/>
    <w:rsid w:val="00C63F7D"/>
    <w:rsid w:val="00C775C5"/>
    <w:rsid w:val="00C81B92"/>
    <w:rsid w:val="00C860E9"/>
    <w:rsid w:val="00C86408"/>
    <w:rsid w:val="00C876B0"/>
    <w:rsid w:val="00CA014A"/>
    <w:rsid w:val="00CB324D"/>
    <w:rsid w:val="00CC68E0"/>
    <w:rsid w:val="00CD658D"/>
    <w:rsid w:val="00CD6D74"/>
    <w:rsid w:val="00CE3BBF"/>
    <w:rsid w:val="00CE52DC"/>
    <w:rsid w:val="00CF5F7A"/>
    <w:rsid w:val="00D02C3D"/>
    <w:rsid w:val="00D07A24"/>
    <w:rsid w:val="00D30ECA"/>
    <w:rsid w:val="00D329FC"/>
    <w:rsid w:val="00D4081C"/>
    <w:rsid w:val="00D44064"/>
    <w:rsid w:val="00D53A3F"/>
    <w:rsid w:val="00D5554F"/>
    <w:rsid w:val="00D56DC9"/>
    <w:rsid w:val="00D574BA"/>
    <w:rsid w:val="00D80616"/>
    <w:rsid w:val="00DB00CB"/>
    <w:rsid w:val="00DB68E5"/>
    <w:rsid w:val="00DD2102"/>
    <w:rsid w:val="00DE76DD"/>
    <w:rsid w:val="00DF0AB4"/>
    <w:rsid w:val="00DF196B"/>
    <w:rsid w:val="00DF58E1"/>
    <w:rsid w:val="00DF797A"/>
    <w:rsid w:val="00E05056"/>
    <w:rsid w:val="00E14B85"/>
    <w:rsid w:val="00E20755"/>
    <w:rsid w:val="00E2413A"/>
    <w:rsid w:val="00E34386"/>
    <w:rsid w:val="00E35E81"/>
    <w:rsid w:val="00E4458B"/>
    <w:rsid w:val="00E452AC"/>
    <w:rsid w:val="00E50BC3"/>
    <w:rsid w:val="00E604BA"/>
    <w:rsid w:val="00E62E10"/>
    <w:rsid w:val="00E63FA8"/>
    <w:rsid w:val="00E83038"/>
    <w:rsid w:val="00E926DB"/>
    <w:rsid w:val="00EC0A63"/>
    <w:rsid w:val="00EC38F3"/>
    <w:rsid w:val="00EC7DF1"/>
    <w:rsid w:val="00ED3129"/>
    <w:rsid w:val="00ED5ABE"/>
    <w:rsid w:val="00EE5839"/>
    <w:rsid w:val="00F02584"/>
    <w:rsid w:val="00F0625C"/>
    <w:rsid w:val="00F2441B"/>
    <w:rsid w:val="00F34C85"/>
    <w:rsid w:val="00F35D2C"/>
    <w:rsid w:val="00F55D2B"/>
    <w:rsid w:val="00F608AF"/>
    <w:rsid w:val="00F6337E"/>
    <w:rsid w:val="00F8211A"/>
    <w:rsid w:val="00F8426E"/>
    <w:rsid w:val="00FA0E09"/>
    <w:rsid w:val="00FB3A37"/>
    <w:rsid w:val="00FB4B25"/>
    <w:rsid w:val="00FB6CC4"/>
    <w:rsid w:val="00FC4F06"/>
    <w:rsid w:val="00FE23BB"/>
    <w:rsid w:val="00FE3F9D"/>
    <w:rsid w:val="00FE4443"/>
    <w:rsid w:val="00FE5BA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2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2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F4BC-1BBD-4A2E-A2D7-D130491D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1</TotalTime>
  <Pages>10</Pages>
  <Words>4080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Renata Fedorow</cp:lastModifiedBy>
  <cp:revision>2</cp:revision>
  <cp:lastPrinted>2018-10-29T07:23:00Z</cp:lastPrinted>
  <dcterms:created xsi:type="dcterms:W3CDTF">2019-05-13T10:56:00Z</dcterms:created>
  <dcterms:modified xsi:type="dcterms:W3CDTF">2019-05-13T10:56:00Z</dcterms:modified>
</cp:coreProperties>
</file>