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9" w:rsidRPr="00584C8A" w:rsidRDefault="008C03D9" w:rsidP="008C03D9">
      <w:pPr>
        <w:pStyle w:val="Nagwek2"/>
        <w:ind w:left="0" w:firstLine="0"/>
        <w:jc w:val="right"/>
        <w:rPr>
          <w:b w:val="0"/>
          <w:sz w:val="16"/>
          <w:szCs w:val="16"/>
          <w:lang w:eastAsia="ar-SA"/>
        </w:rPr>
      </w:pPr>
      <w:bookmarkStart w:id="0" w:name="_GoBack"/>
      <w:bookmarkEnd w:id="0"/>
      <w:r>
        <w:rPr>
          <w:rFonts w:asciiTheme="minorHAnsi" w:eastAsia="Calibri" w:hAnsiTheme="minorHAnsi" w:cstheme="minorHAnsi"/>
          <w:b w:val="0"/>
          <w:sz w:val="16"/>
          <w:szCs w:val="16"/>
        </w:rPr>
        <w:t>Zał. nr 2</w:t>
      </w:r>
      <w:r w:rsidRPr="00584C8A">
        <w:rPr>
          <w:rFonts w:asciiTheme="minorHAnsi" w:eastAsia="Calibri" w:hAnsiTheme="minorHAnsi" w:cstheme="minorHAnsi"/>
          <w:b w:val="0"/>
          <w:sz w:val="16"/>
          <w:szCs w:val="16"/>
        </w:rPr>
        <w:t xml:space="preserve"> do </w:t>
      </w:r>
      <w:r>
        <w:rPr>
          <w:rFonts w:asciiTheme="minorHAnsi" w:eastAsia="Calibri" w:hAnsiTheme="minorHAnsi" w:cstheme="minorHAnsi"/>
          <w:b w:val="0"/>
          <w:sz w:val="16"/>
          <w:szCs w:val="16"/>
        </w:rPr>
        <w:t>Umowy inwestycyjnej</w:t>
      </w:r>
      <w:r w:rsidRPr="00584C8A">
        <w:rPr>
          <w:rFonts w:asciiTheme="minorHAnsi" w:hAnsiTheme="minorHAnsi" w:cstheme="minorHAnsi"/>
          <w:b w:val="0"/>
          <w:sz w:val="16"/>
          <w:szCs w:val="16"/>
          <w:lang w:eastAsia="ar-SA"/>
        </w:rPr>
        <w:t>„ Wsparcie ze środków EFRR i Budżetu Państwa dla MŚP działających na rynku powyżej</w:t>
      </w:r>
      <w:r w:rsidRPr="00584C8A">
        <w:rPr>
          <w:b w:val="0"/>
          <w:sz w:val="16"/>
          <w:szCs w:val="16"/>
          <w:lang w:eastAsia="ar-SA"/>
        </w:rPr>
        <w:t xml:space="preserve"> 24 miesięcy”</w:t>
      </w:r>
    </w:p>
    <w:p w:rsidR="001C03DF" w:rsidRDefault="001C03DF" w:rsidP="001C03DF">
      <w:pPr>
        <w:pStyle w:val="Akapitzlist"/>
        <w:spacing w:after="120" w:line="23" w:lineRule="atLeast"/>
        <w:ind w:left="0"/>
        <w:contextualSpacing w:val="0"/>
        <w:jc w:val="center"/>
        <w:rPr>
          <w:rFonts w:cs="Arial"/>
          <w:b/>
        </w:rPr>
      </w:pPr>
    </w:p>
    <w:p w:rsidR="001C03DF" w:rsidRPr="005C227A" w:rsidRDefault="001C03DF" w:rsidP="001C03DF">
      <w:pPr>
        <w:pStyle w:val="Akapitzlist"/>
        <w:spacing w:after="120" w:line="23" w:lineRule="atLeast"/>
        <w:ind w:left="0"/>
        <w:contextualSpacing w:val="0"/>
        <w:jc w:val="center"/>
        <w:rPr>
          <w:rFonts w:cs="Arial"/>
          <w:b/>
        </w:rPr>
      </w:pPr>
      <w:r w:rsidRPr="005C227A">
        <w:rPr>
          <w:rFonts w:cs="Arial"/>
          <w:b/>
        </w:rPr>
        <w:t>Karta produktu Pożyczka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Podstawowe parametry Pożyczki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Wartość Jednostkowej Pożyczki wynosi od 10 000 zł do 1 000 000 zł i jednocześnie nie może przekroczyć 10% kwoty przyznanego Limitu Pożyczki.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Wkład własny Ostatecznego Odbiorcy nie jest wymagany.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Maksymalny termin na wypłatę całkowitej kwoty Jednostkowej Pożyczki Ostatecznemu Odbiorcy wynosi 90 dni kalendarzowych od dnia zawarcia Umowy Inwestycyjnej. 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Maksymalny okres spłaty Jednostkowej Pożyczki nie może być dłuższy niż 84 miesięcy, od momentu jej uruchomienia, tj. wypłaty pierwszej transzy Jednostkowej Pożyczki.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Pośrednik Finansowy może udzielić Ostatecznemu Odbiorcy karencji w spłacie kapitału Jednostkowej Pożyczki o okres wynoszący maksymalnie 6 miesięcy od dnia jej uruchomienia, przy czym karencja nie wydłuża okresu spłaty Jednostkowej Pożyczki, o którym mowa w pkt.I.4 powyżej.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Zasady udzielania i udokumentowania Jednostkowej Pożyczki</w:t>
      </w:r>
    </w:p>
    <w:p w:rsidR="001C03DF" w:rsidRPr="001C03DF" w:rsidRDefault="001C03DF" w:rsidP="001C03DF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 związku z zawieraną umową Jednostkowej Pożyczki, z zastrzeżeniem, iż w przypadku zabezpieczenia takiego jak „cesja praw z polisy ubezpieczeniowej” Ostateczny Odbiorca ma możliwość wyboru oferty spośród ubezpieczycieli dostępnych na rynku.</w:t>
      </w:r>
    </w:p>
    <w:p w:rsidR="001C03DF" w:rsidRPr="001C03DF" w:rsidRDefault="001C03DF" w:rsidP="001C03DF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Wydatkowanie środków Jednostkowej Pożyczki musi zostać należycie udokumentowane w terminie do 90 dni kalendarzowych od daty jej całkowitej wypłaty do Ostatecznego Odbiorcy. W uzasadnionych przypadkach i na wniosek Ostatecznego Odbiorcy termin ten może ulec wydłużeniu</w:t>
      </w:r>
      <w:r w:rsidRPr="001C03DF">
        <w:rPr>
          <w:sz w:val="18"/>
          <w:szCs w:val="18"/>
        </w:rPr>
        <w:t xml:space="preserve"> maksymalnie o kolejne 90 dni</w:t>
      </w:r>
      <w:r w:rsidRPr="001C03DF">
        <w:rPr>
          <w:rFonts w:cs="Arial"/>
          <w:sz w:val="18"/>
          <w:szCs w:val="18"/>
        </w:rPr>
        <w:t xml:space="preserve"> ze względu na charakter inwestycji. Dokumentem potwierdzającym wydatkowanie środków zgodnie z celem, na jaki zostały przyznane jest w szczególności faktura lub dokument równoważny, w rozumieniu przepisów prawa krajowego. </w:t>
      </w:r>
      <w:r w:rsidRPr="001C03DF">
        <w:rPr>
          <w:sz w:val="18"/>
          <w:szCs w:val="18"/>
        </w:rPr>
        <w:t>Przedstawione w ramach rozliczenia dokumenty powinny w sposób jednoznaczny potwierdzać, że kwota pożyczki została wykorzystana zgodnie z przeznaczeniem, na jakie została udzielona.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Przeznaczenie finansowania</w:t>
      </w:r>
    </w:p>
    <w:p w:rsidR="001C03DF" w:rsidRPr="001C03DF" w:rsidRDefault="001C03DF" w:rsidP="001C03DF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 ramach instrumentu finansowane będą przedsięwzięcia inwestycyjne, na terenie województwa małopolskiego realizowane przez MŚP działające na rynku powyżej 24 miesięcy</w:t>
      </w:r>
      <w:r w:rsidRPr="001C03DF">
        <w:rPr>
          <w:rStyle w:val="Odwoanieprzypisudolnego"/>
          <w:rFonts w:cs="Arial"/>
          <w:sz w:val="18"/>
          <w:szCs w:val="18"/>
        </w:rPr>
        <w:footnoteReference w:id="1"/>
      </w:r>
      <w:r w:rsidRPr="001C03DF">
        <w:rPr>
          <w:rFonts w:cs="Arial"/>
          <w:sz w:val="18"/>
          <w:szCs w:val="18"/>
        </w:rPr>
        <w:t xml:space="preserve">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inwestycje w nowoczesne maszyny, urządzenia i sprzęt produkcyjny, w celu wprowadzenia na rynek nowych lub ulepszonych produktów lub usług,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rozwój sprzedaży produktów i usług w Internecie (handel elektroniczny),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inwestycje dotyczące stosowania w działalności gospodarczej technologii informacyjno – komunikacyjnych (TIK),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przedsięwzięcia z zakresu dostosowania istniejących instalacji produkcyjnych do standardów najlepszych dostępnych technik (BAT – </w:t>
      </w:r>
      <w:proofErr w:type="spellStart"/>
      <w:r w:rsidRPr="001C03DF">
        <w:rPr>
          <w:rFonts w:cs="Arial"/>
          <w:sz w:val="18"/>
          <w:szCs w:val="18"/>
        </w:rPr>
        <w:t>best</w:t>
      </w:r>
      <w:proofErr w:type="spellEnd"/>
      <w:r w:rsidRPr="001C03DF">
        <w:rPr>
          <w:rFonts w:cs="Arial"/>
          <w:sz w:val="18"/>
          <w:szCs w:val="18"/>
        </w:rPr>
        <w:t xml:space="preserve"> </w:t>
      </w:r>
      <w:proofErr w:type="spellStart"/>
      <w:r w:rsidRPr="001C03DF">
        <w:rPr>
          <w:rFonts w:cs="Arial"/>
          <w:sz w:val="18"/>
          <w:szCs w:val="18"/>
        </w:rPr>
        <w:t>available</w:t>
      </w:r>
      <w:proofErr w:type="spellEnd"/>
      <w:r w:rsidRPr="001C03DF">
        <w:rPr>
          <w:rFonts w:cs="Arial"/>
          <w:sz w:val="18"/>
          <w:szCs w:val="18"/>
        </w:rPr>
        <w:t xml:space="preserve"> </w:t>
      </w:r>
      <w:proofErr w:type="spellStart"/>
      <w:r w:rsidRPr="001C03DF">
        <w:rPr>
          <w:rFonts w:cs="Arial"/>
          <w:sz w:val="18"/>
          <w:szCs w:val="18"/>
        </w:rPr>
        <w:t>technology</w:t>
      </w:r>
      <w:proofErr w:type="spellEnd"/>
      <w:r w:rsidRPr="001C03DF">
        <w:rPr>
          <w:rFonts w:cs="Arial"/>
          <w:sz w:val="18"/>
          <w:szCs w:val="18"/>
        </w:rPr>
        <w:t xml:space="preserve">) – nowoczesne rozwiązania umożliwiające redukcję kosztów działalności rynkowej w przedsiębiorstwach, wynikającą z mniejszego zużycia energii lub bardziej efektywnego wykorzystania surowców (jako element kompleksowego projektu), 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1C03DF" w:rsidRPr="001C03DF" w:rsidRDefault="001C03DF" w:rsidP="001C0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Udział Jednostkowej Pożyczki w koszcie realizowanego przedsięwzięcia może stanowić do 100% jego wartości.</w:t>
      </w:r>
    </w:p>
    <w:p w:rsidR="001C03DF" w:rsidRPr="001C03DF" w:rsidRDefault="001C03DF" w:rsidP="001C03DF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Preferencje finansowania:</w:t>
      </w:r>
    </w:p>
    <w:p w:rsidR="001C03DF" w:rsidRPr="001C03DF" w:rsidRDefault="001C03DF" w:rsidP="001C03D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lastRenderedPageBreak/>
        <w:t>W ramach instrumentu Pożyczka preferowane będą projekty realizowane:</w:t>
      </w:r>
    </w:p>
    <w:p w:rsidR="001C03DF" w:rsidRPr="001C03DF" w:rsidRDefault="001C03DF" w:rsidP="001C03DF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 zakresie Regionalnych Inteligentnych Specjalizacji (wykaz dostępny u Pośrednika Finansowego)</w:t>
      </w:r>
    </w:p>
    <w:p w:rsidR="001C03DF" w:rsidRDefault="001C03DF" w:rsidP="001C03DF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na terenach o niskiej aktywności gospodarczej</w:t>
      </w:r>
      <w:r w:rsidRPr="001C03DF">
        <w:rPr>
          <w:rStyle w:val="Odwoanieprzypisudolnego"/>
          <w:rFonts w:cs="Arial"/>
          <w:sz w:val="18"/>
          <w:szCs w:val="18"/>
        </w:rPr>
        <w:footnoteReference w:id="2"/>
      </w:r>
      <w:r w:rsidRPr="001C03DF">
        <w:rPr>
          <w:rFonts w:cs="Arial"/>
          <w:sz w:val="18"/>
          <w:szCs w:val="18"/>
        </w:rPr>
        <w:t xml:space="preserve"> (wykaz dostępny u Pośrednika Finansowego</w:t>
      </w:r>
    </w:p>
    <w:p w:rsidR="001C03DF" w:rsidRPr="001C03DF" w:rsidRDefault="001C03DF" w:rsidP="001C03DF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Wykluczenia z finansowania</w:t>
      </w:r>
    </w:p>
    <w:p w:rsidR="001C03DF" w:rsidRPr="001C03DF" w:rsidRDefault="001C03DF" w:rsidP="001C03DF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 ramach instrumentu nie jest możliwe: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wydatków pokrytych uprzednio ze środków EFSI, z innych funduszy, programów, środków i instrumentów Unii Europejskiej lub innych źródeł pomocy krajowej lub zagranicznej,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refinansowanie inwestycji, które w dniu podjęcia decyzji inwestycyjnej zostały fizycznie ukończone lub w pełni zrealizowane;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refinansowanie jakichkolwiek pożyczek lub kredytów;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spłatę zobowiązań publiczno – prawnych Ostatecznego Odbiorcy,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wytwarzania, przetwórstwa lub wprowadzania do obrotu tytoniu i wyrobów tytoniowych;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zakupu udziałów lub akcji innego przedsiębiorstwa;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produkcji lub wprowadzania do obrotu napojów alkoholowych;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produkcji lub wprowadzania do obrotu treści pornograficznych;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obrotu materiałami wybuchowymi, bronią i amunicją;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gier losowych, zakładów wzajemnych, gier na automatach i gier na automatach o niskich wygranych;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produkcji lub wprowadzania do obrotu środków odurzających, substancji psychotropowych lub prekursorów;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likwidacji lub budowy elektrowni jądrowych;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inwestycji na rzecz redukcji emisji gazów cieplarnianych pochodzących z listy działań wymienionych w załączniku I do dyrektywy 2003/87/WE;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Ograniczenia w finansowaniu</w:t>
      </w:r>
    </w:p>
    <w:p w:rsidR="001C03DF" w:rsidRPr="001C03DF" w:rsidRDefault="001C03DF" w:rsidP="001C03DF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zakupu gruntów niezabudowanych i zabudowanych w ramach finansowanej inwestycji możliwe jest do wysokości 10 % całkowitych wydatków kwalifikowalnych projektu finansowanego Jednostkową Pożyczką udzieloną na rzecz Ostatecznego Odbiorcy.</w:t>
      </w:r>
    </w:p>
    <w:p w:rsidR="001C03DF" w:rsidRPr="001C03DF" w:rsidRDefault="001C03DF" w:rsidP="001C03DF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Jedno przedsiębiorstwo może otrzymać w ramach przyznanego Limitu Pożyczki nie więcej niż dwie Jednostkowe Pożyczki. 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Zasady odpłatności za udzielenie Jednostkowych Pożyczek</w:t>
      </w:r>
    </w:p>
    <w:p w:rsidR="001C03DF" w:rsidRPr="001C03DF" w:rsidRDefault="001C03DF" w:rsidP="001C03DF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Jednostkowe Pożyczki udzielane Ostatecznym Odbiorcom przez Pośrednika Finansowego mogą być oprocentowane:</w:t>
      </w:r>
    </w:p>
    <w:p w:rsidR="001C03DF" w:rsidRPr="001C03DF" w:rsidRDefault="001C03DF" w:rsidP="001C03DF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na warunkach rynkowych, według stopy referencyjnej obliczanej przy zastosowaniu obowiązującej stopy bazowej oraz marży ustalonej w oparciu o </w:t>
      </w:r>
      <w:r w:rsidRPr="001C03DF">
        <w:rPr>
          <w:rFonts w:cs="Arial"/>
          <w:iCs/>
          <w:sz w:val="18"/>
          <w:szCs w:val="18"/>
        </w:rPr>
        <w:t>Komunikat Komisji Europejskiej w sprawie zmiany metody ustalania stóp referencyjnych i dyskontowych</w:t>
      </w:r>
      <w:r w:rsidRPr="001C03DF">
        <w:rPr>
          <w:rFonts w:cs="Arial"/>
          <w:i/>
          <w:iCs/>
          <w:sz w:val="18"/>
          <w:szCs w:val="18"/>
        </w:rPr>
        <w:t xml:space="preserve"> </w:t>
      </w:r>
      <w:r w:rsidRPr="001C03DF">
        <w:rPr>
          <w:rFonts w:cs="Arial"/>
          <w:sz w:val="18"/>
          <w:szCs w:val="18"/>
        </w:rPr>
        <w:t xml:space="preserve">(Dz. Urz. UE C 14 z 19.1.2008 r. lub komunikatu zastępującego) oraz po przeprowadzeniu analizy ryzyka niespłacenia zaciągniętego przez przedsiębiorcę zobowiązania </w:t>
      </w:r>
      <w:r w:rsidRPr="001C03DF">
        <w:rPr>
          <w:rFonts w:cs="Arial"/>
          <w:bCs/>
          <w:sz w:val="18"/>
          <w:szCs w:val="18"/>
        </w:rPr>
        <w:t>na podstawie wdrożonej i akceptowanej w sektorze finansowym metodologii wyznaczania współczynnika ryzyka.</w:t>
      </w:r>
    </w:p>
    <w:p w:rsidR="001C03DF" w:rsidRPr="001C03DF" w:rsidRDefault="001C03DF" w:rsidP="001C03DF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1C03DF">
        <w:rPr>
          <w:b/>
          <w:sz w:val="18"/>
          <w:szCs w:val="18"/>
        </w:rPr>
        <w:t xml:space="preserve">Stopa bazowa publikowana jest przez Komisję Europejską w dzienniku Urzędowym Unii Europejskiej i dostępna jest na stronie: </w:t>
      </w:r>
    </w:p>
    <w:p w:rsidR="001C03DF" w:rsidRPr="001C03DF" w:rsidRDefault="00FE5EBB" w:rsidP="001C03DF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8" w:history="1">
        <w:r w:rsidR="001C03DF" w:rsidRPr="001C03DF">
          <w:rPr>
            <w:rStyle w:val="Hipercze"/>
            <w:sz w:val="18"/>
            <w:szCs w:val="18"/>
          </w:rPr>
          <w:t>http://ec.europa.eu/competition/state_aid/legislation/reference_rates.html</w:t>
        </w:r>
      </w:hyperlink>
    </w:p>
    <w:p w:rsidR="001C03DF" w:rsidRPr="001C03DF" w:rsidRDefault="001C03DF" w:rsidP="001C03DF">
      <w:pPr>
        <w:pStyle w:val="Akapitzlist"/>
        <w:spacing w:after="120" w:line="23" w:lineRule="atLeast"/>
        <w:ind w:left="1353"/>
        <w:contextualSpacing w:val="0"/>
        <w:jc w:val="both"/>
        <w:rPr>
          <w:sz w:val="18"/>
          <w:szCs w:val="18"/>
        </w:rPr>
      </w:pPr>
      <w:r w:rsidRPr="001C03DF">
        <w:rPr>
          <w:sz w:val="18"/>
          <w:szCs w:val="18"/>
        </w:rPr>
        <w:t>oraz</w:t>
      </w:r>
    </w:p>
    <w:p w:rsidR="001C03DF" w:rsidRPr="001C03DF" w:rsidRDefault="00FE5EBB" w:rsidP="001C03DF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9" w:history="1">
        <w:r w:rsidR="001C03DF" w:rsidRPr="001C03DF">
          <w:rPr>
            <w:rStyle w:val="Hipercze"/>
            <w:sz w:val="18"/>
            <w:szCs w:val="18"/>
          </w:rPr>
          <w:t>https://uokik.gov.pl/stopa_referencyjna_i_archiwum.php</w:t>
        </w:r>
      </w:hyperlink>
    </w:p>
    <w:p w:rsidR="001C03DF" w:rsidRPr="001C03DF" w:rsidRDefault="001C03DF" w:rsidP="001C03DF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1C03DF">
        <w:rPr>
          <w:b/>
          <w:sz w:val="18"/>
          <w:szCs w:val="18"/>
        </w:rPr>
        <w:t>Marża jest ustalana w następujący sposób: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520"/>
        <w:gridCol w:w="1540"/>
        <w:gridCol w:w="1379"/>
      </w:tblGrid>
      <w:tr w:rsidR="001C03DF" w:rsidRPr="001C03DF" w:rsidTr="00A16BD4">
        <w:trPr>
          <w:trHeight w:val="270"/>
        </w:trPr>
        <w:tc>
          <w:tcPr>
            <w:tcW w:w="8313" w:type="dxa"/>
            <w:gridSpan w:val="4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lastRenderedPageBreak/>
              <w:t>Marża kredytów w punktach bazowych</w:t>
            </w:r>
          </w:p>
        </w:tc>
      </w:tr>
      <w:tr w:rsidR="001C03DF" w:rsidRPr="001C03DF" w:rsidTr="00A16BD4">
        <w:trPr>
          <w:trHeight w:val="330"/>
        </w:trPr>
        <w:tc>
          <w:tcPr>
            <w:tcW w:w="3777" w:type="dxa"/>
            <w:vMerge w:val="restart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Kategoria ratingu</w:t>
            </w:r>
          </w:p>
        </w:tc>
        <w:tc>
          <w:tcPr>
            <w:tcW w:w="4536" w:type="dxa"/>
            <w:gridSpan w:val="3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Poziom zabezpieczeń</w:t>
            </w:r>
          </w:p>
        </w:tc>
      </w:tr>
      <w:tr w:rsidR="001C03DF" w:rsidRPr="001C03DF" w:rsidTr="00A16BD4">
        <w:trPr>
          <w:trHeight w:val="291"/>
        </w:trPr>
        <w:tc>
          <w:tcPr>
            <w:tcW w:w="3777" w:type="dxa"/>
            <w:vMerge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Wysoki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Standardowy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Niski</w:t>
            </w:r>
          </w:p>
        </w:tc>
      </w:tr>
      <w:tr w:rsidR="001C03DF" w:rsidRPr="001C03DF" w:rsidTr="00A16BD4">
        <w:trPr>
          <w:trHeight w:val="315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Wysoki (AAA-A)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</w:t>
            </w:r>
          </w:p>
        </w:tc>
      </w:tr>
      <w:tr w:rsidR="001C03DF" w:rsidRPr="001C03DF" w:rsidTr="00A16BD4">
        <w:trPr>
          <w:trHeight w:val="164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Dobry (BBB)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220</w:t>
            </w:r>
          </w:p>
        </w:tc>
      </w:tr>
      <w:tr w:rsidR="001C03DF" w:rsidRPr="001C03DF" w:rsidTr="00A16BD4">
        <w:trPr>
          <w:trHeight w:val="149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Zadowalający (BB)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400</w:t>
            </w:r>
          </w:p>
        </w:tc>
      </w:tr>
      <w:tr w:rsidR="001C03DF" w:rsidRPr="001C03DF" w:rsidTr="00A16BD4">
        <w:trPr>
          <w:trHeight w:val="225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Niski (B)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650</w:t>
            </w:r>
          </w:p>
        </w:tc>
      </w:tr>
      <w:tr w:rsidR="001C03DF" w:rsidRPr="001C03DF" w:rsidTr="00A16BD4">
        <w:trPr>
          <w:trHeight w:val="225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Zły/Trudności finansowe (CCC i poniżej)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650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1000</w:t>
            </w:r>
          </w:p>
        </w:tc>
      </w:tr>
    </w:tbl>
    <w:p w:rsidR="001C03DF" w:rsidRPr="001C03DF" w:rsidRDefault="001C03DF" w:rsidP="001C03DF">
      <w:pPr>
        <w:pStyle w:val="Akapitzlist"/>
        <w:spacing w:after="120" w:line="23" w:lineRule="atLeast"/>
        <w:ind w:left="1353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 xml:space="preserve">Pod pojęciem „standardowy poziom zabezpieczeń” należy rozumieć poziom zabezpieczeń, jakiego zwyczajowo wymagają instytucje finansowe z tytułu gwarancji dla udzielanych kredytów. 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 xml:space="preserve">Poziom zabezpieczeń może być mierzony jako strata z tytułu niewywiązywania się z płatności (ang. </w:t>
      </w:r>
      <w:proofErr w:type="spellStart"/>
      <w:r w:rsidRPr="001C03DF">
        <w:rPr>
          <w:sz w:val="18"/>
          <w:szCs w:val="18"/>
        </w:rPr>
        <w:t>Loss</w:t>
      </w:r>
      <w:proofErr w:type="spellEnd"/>
      <w:r w:rsidRPr="001C03DF">
        <w:rPr>
          <w:sz w:val="18"/>
          <w:szCs w:val="18"/>
        </w:rPr>
        <w:t xml:space="preserve"> </w:t>
      </w:r>
      <w:proofErr w:type="spellStart"/>
      <w:r w:rsidRPr="001C03DF">
        <w:rPr>
          <w:sz w:val="18"/>
          <w:szCs w:val="18"/>
        </w:rPr>
        <w:t>Given</w:t>
      </w:r>
      <w:proofErr w:type="spellEnd"/>
      <w:r w:rsidRPr="001C03DF">
        <w:rPr>
          <w:sz w:val="18"/>
          <w:szCs w:val="18"/>
        </w:rPr>
        <w:t xml:space="preserve"> </w:t>
      </w:r>
      <w:proofErr w:type="spellStart"/>
      <w:r w:rsidRPr="001C03DF">
        <w:rPr>
          <w:sz w:val="18"/>
          <w:szCs w:val="18"/>
        </w:rPr>
        <w:t>Default</w:t>
      </w:r>
      <w:proofErr w:type="spellEnd"/>
      <w:r w:rsidRPr="001C03DF">
        <w:rPr>
          <w:sz w:val="18"/>
          <w:szCs w:val="18"/>
        </w:rPr>
        <w:t xml:space="preserve"> — LGD), czyli oczekiwana, wyrażona w procentach strata w łącznej kwocie kredytu dłużnika, przy uwzględnieniu możliwych do odzyskania kwot pochodzących z zabezpieczeń i masy upadłościowej; w konsekwencji LGD jest odwrotnie proporcjonalne do ważności zabezpieczeń.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>W odniesieniu do kredytobiorców, którzy nie mają historii kredytowej lub ratingu opartego o podejście bilansowe, jak niektóre spółki specjalnego przeznaczenia lub nowoutworzone przedsiębiorstwa, stopa bazowa powinna być zwiększona o przynajmniej 400 punktów bazowych (zależnie od dostępnych zabezpieczeń), a marża nigdy nie może być niższa niż marża, która zostałaby zastosowana w odniesieniu do spółki dominującej.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>Rating nie musi pochodzić z konkretnych agencji ratingowych — akceptowane są również krajowe systemy ratingowe lub systemy ratingowe stosowane przez banki w celu odzwierciedlenia wskaźników niewypłacalności.</w:t>
      </w:r>
    </w:p>
    <w:p w:rsidR="001C03DF" w:rsidRPr="001C03DF" w:rsidRDefault="001C03DF" w:rsidP="001C03DF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na warunkach korzystniejszych niż rynkowe, zgodnie z zasadami udzielania pomocy </w:t>
      </w:r>
      <w:r w:rsidRPr="001C03DF">
        <w:rPr>
          <w:rFonts w:cs="Arial"/>
          <w:i/>
          <w:sz w:val="18"/>
          <w:szCs w:val="18"/>
        </w:rPr>
        <w:t xml:space="preserve">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i/>
          <w:sz w:val="18"/>
          <w:szCs w:val="18"/>
        </w:rPr>
        <w:t xml:space="preserve">, </w:t>
      </w:r>
      <w:r w:rsidRPr="001C03DF">
        <w:rPr>
          <w:rFonts w:cs="Arial"/>
          <w:sz w:val="18"/>
          <w:szCs w:val="18"/>
        </w:rPr>
        <w:t xml:space="preserve">o których mowa w </w:t>
      </w:r>
      <w:r w:rsidRPr="001C03DF">
        <w:rPr>
          <w:rFonts w:cs="Arial"/>
          <w:i/>
          <w:sz w:val="18"/>
          <w:szCs w:val="18"/>
        </w:rPr>
        <w:t xml:space="preserve">Rozporządzeniu Komisji  (UE) nr 1407/2013 z dnia 18 grudnia 2013 r. w sprawie stosowania art. 107 i 108 Traktatu o funkcjonowaniu Unii Europejskiej do pomocy 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i/>
          <w:sz w:val="18"/>
          <w:szCs w:val="18"/>
        </w:rPr>
        <w:t xml:space="preserve"> </w:t>
      </w:r>
      <w:r w:rsidRPr="001C03DF">
        <w:rPr>
          <w:rFonts w:cs="Arial"/>
          <w:sz w:val="18"/>
          <w:szCs w:val="18"/>
        </w:rPr>
        <w:t xml:space="preserve">oraz </w:t>
      </w:r>
      <w:r w:rsidRPr="001C03DF">
        <w:rPr>
          <w:rFonts w:cs="Arial"/>
          <w:i/>
          <w:sz w:val="18"/>
          <w:szCs w:val="18"/>
        </w:rPr>
        <w:t xml:space="preserve">Rozporządzenia Ministra Infrastruktury i Rozwoju z dnia 19 marca 2015 r. w sprawie udzielania pomocy 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i/>
          <w:sz w:val="18"/>
          <w:szCs w:val="18"/>
        </w:rPr>
        <w:t xml:space="preserve"> w ramach regionalnych programów operacyjnych na lata 2014–2020 (</w:t>
      </w:r>
      <w:proofErr w:type="spellStart"/>
      <w:r w:rsidRPr="001C03DF">
        <w:rPr>
          <w:rFonts w:cs="Arial"/>
          <w:sz w:val="18"/>
          <w:szCs w:val="18"/>
        </w:rPr>
        <w:t>Dz.U</w:t>
      </w:r>
      <w:proofErr w:type="spellEnd"/>
      <w:r w:rsidRPr="001C03DF">
        <w:rPr>
          <w:rFonts w:cs="Arial"/>
          <w:sz w:val="18"/>
          <w:szCs w:val="18"/>
        </w:rPr>
        <w:t>. 2015 poz. 488 z późniejszymi zmianami).</w:t>
      </w:r>
      <w:r w:rsidRPr="001C03DF">
        <w:rPr>
          <w:rFonts w:cs="Arial"/>
          <w:i/>
          <w:sz w:val="18"/>
          <w:szCs w:val="18"/>
        </w:rPr>
        <w:t xml:space="preserve"> </w:t>
      </w:r>
      <w:r w:rsidRPr="001C03DF">
        <w:rPr>
          <w:rFonts w:cs="Arial"/>
          <w:sz w:val="18"/>
          <w:szCs w:val="18"/>
        </w:rPr>
        <w:t xml:space="preserve">W przypadku wystąpienia pomocy w formie </w:t>
      </w:r>
      <w:r w:rsidRPr="001C03DF">
        <w:rPr>
          <w:rFonts w:cs="Arial"/>
          <w:i/>
          <w:sz w:val="18"/>
          <w:szCs w:val="18"/>
        </w:rPr>
        <w:t xml:space="preserve">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sz w:val="18"/>
          <w:szCs w:val="18"/>
        </w:rPr>
        <w:t xml:space="preserve"> 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 </w:t>
      </w:r>
    </w:p>
    <w:p w:rsidR="001C03DF" w:rsidRPr="001C03DF" w:rsidRDefault="001C03DF" w:rsidP="001C03DF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pkt. IV, przy czym wysokość stopy bazowej określona jest zgodnie z Komunikatem Komisji Europejskiej nr 2008/C 14/02, o którym mowa w pkt. VII.1.a) powyżej.</w:t>
      </w:r>
    </w:p>
    <w:p w:rsidR="001C03DF" w:rsidRPr="001C03DF" w:rsidRDefault="001C03DF" w:rsidP="001C03DF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W przypadku niespełnienia przez Ostatecznego Odbiorcę jakiegokolwiek z warunków umożliwiających udzielenie pomocy de </w:t>
      </w:r>
      <w:proofErr w:type="spellStart"/>
      <w:r w:rsidRPr="001C03DF">
        <w:rPr>
          <w:rFonts w:cs="Arial"/>
          <w:sz w:val="18"/>
          <w:szCs w:val="18"/>
        </w:rPr>
        <w:t>minimis</w:t>
      </w:r>
      <w:proofErr w:type="spellEnd"/>
      <w:r w:rsidRPr="001C03DF">
        <w:rPr>
          <w:rFonts w:cs="Arial"/>
          <w:sz w:val="18"/>
          <w:szCs w:val="18"/>
        </w:rPr>
        <w:t xml:space="preserve"> finansowanie jest udzielane na zasadach rynkowych.</w:t>
      </w:r>
    </w:p>
    <w:p w:rsidR="00640F02" w:rsidRPr="001C03DF" w:rsidRDefault="001C03DF" w:rsidP="001C03DF">
      <w:pPr>
        <w:rPr>
          <w:sz w:val="18"/>
          <w:szCs w:val="18"/>
        </w:rPr>
      </w:pPr>
      <w:r w:rsidRPr="001C03DF">
        <w:rPr>
          <w:rFonts w:cs="Arial"/>
          <w:sz w:val="18"/>
          <w:szCs w:val="18"/>
        </w:rPr>
        <w:t>Za udzielenie i obsługę Jednostkowej Pożyczki nie pobiera się żadnych opłat i prowizji.</w:t>
      </w:r>
    </w:p>
    <w:sectPr w:rsidR="00640F02" w:rsidRPr="001C03DF" w:rsidSect="001304E2">
      <w:headerReference w:type="default" r:id="rId10"/>
      <w:footerReference w:type="default" r:id="rId11"/>
      <w:pgSz w:w="11906" w:h="16838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BB" w:rsidRDefault="00FE5EBB" w:rsidP="001C03DF">
      <w:pPr>
        <w:spacing w:after="0" w:line="240" w:lineRule="auto"/>
      </w:pPr>
      <w:r>
        <w:separator/>
      </w:r>
    </w:p>
  </w:endnote>
  <w:endnote w:type="continuationSeparator" w:id="0">
    <w:p w:rsidR="00FE5EBB" w:rsidRDefault="00FE5EBB" w:rsidP="001C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CC" w:rsidRDefault="00C35BCC" w:rsidP="00C35B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1986C3" wp14:editId="5E53C02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8" name="Obraz 8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BCC" w:rsidRDefault="00C35BCC" w:rsidP="00C35BCC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1304E2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1C03DF" w:rsidRPr="00C35BCC" w:rsidRDefault="001C03DF" w:rsidP="00C3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BB" w:rsidRDefault="00FE5EBB" w:rsidP="001C03DF">
      <w:pPr>
        <w:spacing w:after="0" w:line="240" w:lineRule="auto"/>
      </w:pPr>
      <w:r>
        <w:separator/>
      </w:r>
    </w:p>
  </w:footnote>
  <w:footnote w:type="continuationSeparator" w:id="0">
    <w:p w:rsidR="00FE5EBB" w:rsidRDefault="00FE5EBB" w:rsidP="001C03DF">
      <w:pPr>
        <w:spacing w:after="0" w:line="240" w:lineRule="auto"/>
      </w:pPr>
      <w:r>
        <w:continuationSeparator/>
      </w:r>
    </w:p>
  </w:footnote>
  <w:footnote w:id="1">
    <w:p w:rsidR="001C03DF" w:rsidRDefault="001C03DF" w:rsidP="001C03DF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:rsidR="001C03DF" w:rsidRDefault="001C03DF" w:rsidP="001C03DF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F" w:rsidRDefault="001304E2" w:rsidP="001C03DF">
    <w:pPr>
      <w:pStyle w:val="Nagwek"/>
    </w:pPr>
    <w:r>
      <w:rPr>
        <w:noProof/>
        <w:lang w:eastAsia="pl-PL"/>
      </w:rPr>
      <w:drawing>
        <wp:inline distT="0" distB="0" distL="0" distR="0" wp14:anchorId="309328A6" wp14:editId="188B3915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3DF" w:rsidRPr="001C03DF" w:rsidRDefault="001C03DF" w:rsidP="001C0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F"/>
    <w:rsid w:val="001304E2"/>
    <w:rsid w:val="001C03DF"/>
    <w:rsid w:val="00640F02"/>
    <w:rsid w:val="008C03D9"/>
    <w:rsid w:val="00C35BCC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DF"/>
  </w:style>
  <w:style w:type="paragraph" w:styleId="Nagwek2">
    <w:name w:val="heading 2"/>
    <w:basedOn w:val="Normalny"/>
    <w:next w:val="Normalny"/>
    <w:link w:val="Nagwek2Znak"/>
    <w:qFormat/>
    <w:rsid w:val="008C03D9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bCs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3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3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Tekstdymka">
    <w:name w:val="Balloon Text"/>
    <w:basedOn w:val="Normalny"/>
    <w:link w:val="TekstdymkaZnak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35BCC"/>
  </w:style>
  <w:style w:type="character" w:customStyle="1" w:styleId="Nagwek2Znak">
    <w:name w:val="Nagłówek 2 Znak"/>
    <w:basedOn w:val="Domylnaczcionkaakapitu"/>
    <w:link w:val="Nagwek2"/>
    <w:rsid w:val="008C03D9"/>
    <w:rPr>
      <w:rFonts w:ascii="Arial" w:eastAsia="Times New Roman" w:hAnsi="Arial" w:cs="Arial"/>
      <w:b/>
      <w:bCs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DF"/>
  </w:style>
  <w:style w:type="paragraph" w:styleId="Nagwek2">
    <w:name w:val="heading 2"/>
    <w:basedOn w:val="Normalny"/>
    <w:next w:val="Normalny"/>
    <w:link w:val="Nagwek2Znak"/>
    <w:qFormat/>
    <w:rsid w:val="008C03D9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bCs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3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3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Tekstdymka">
    <w:name w:val="Balloon Text"/>
    <w:basedOn w:val="Normalny"/>
    <w:link w:val="TekstdymkaZnak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35BCC"/>
  </w:style>
  <w:style w:type="character" w:customStyle="1" w:styleId="Nagwek2Znak">
    <w:name w:val="Nagłówek 2 Znak"/>
    <w:basedOn w:val="Domylnaczcionkaakapitu"/>
    <w:link w:val="Nagwek2"/>
    <w:rsid w:val="008C03D9"/>
    <w:rPr>
      <w:rFonts w:ascii="Arial" w:eastAsia="Times New Roman" w:hAnsi="Arial" w:cs="Arial"/>
      <w:b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stopa_referencyjna_i_archiwum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4</cp:revision>
  <dcterms:created xsi:type="dcterms:W3CDTF">2018-11-17T09:05:00Z</dcterms:created>
  <dcterms:modified xsi:type="dcterms:W3CDTF">2018-11-22T09:01:00Z</dcterms:modified>
</cp:coreProperties>
</file>