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3A3" w:rsidRPr="008C0E9D" w:rsidRDefault="00B8365B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C0E9D">
        <w:rPr>
          <w:rFonts w:asciiTheme="minorHAnsi" w:hAnsiTheme="minorHAnsi" w:cstheme="minorHAnsi"/>
          <w:b/>
          <w:sz w:val="28"/>
          <w:szCs w:val="28"/>
        </w:rPr>
        <w:t xml:space="preserve">REGULAMIN UDZIELANIA POŻYCZEK </w:t>
      </w:r>
      <w:r w:rsidR="00FE5BA9" w:rsidRPr="008C0E9D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Pr="008C0E9D">
        <w:rPr>
          <w:rFonts w:asciiTheme="minorHAnsi" w:hAnsiTheme="minorHAnsi" w:cstheme="minorHAnsi"/>
          <w:b/>
          <w:sz w:val="28"/>
          <w:szCs w:val="28"/>
        </w:rPr>
        <w:t>FUNDUSZU POŻYCZKOWEGO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8365B" w:rsidRPr="008C0E9D" w:rsidRDefault="009113A3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„WSPARCIE 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>Z</w:t>
      </w:r>
      <w:r w:rsidR="00D44064">
        <w:rPr>
          <w:rFonts w:asciiTheme="minorHAnsi" w:hAnsiTheme="minorHAnsi" w:cstheme="minorHAnsi"/>
          <w:b/>
          <w:sz w:val="28"/>
          <w:szCs w:val="28"/>
        </w:rPr>
        <w:t>E ŚRODKÓW EFRR i 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 xml:space="preserve">BUDŻETU PAŃSTWA 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DLA MŚP DZIAŁAJĄCYCH NA RYNKU POWYŻEJ 24 MIESI</w:t>
      </w:r>
      <w:r w:rsidR="00A95A2F">
        <w:rPr>
          <w:rFonts w:asciiTheme="minorHAnsi" w:hAnsiTheme="minorHAnsi" w:cstheme="minorHAnsi"/>
          <w:b/>
          <w:sz w:val="28"/>
          <w:szCs w:val="28"/>
        </w:rPr>
        <w:t>Ę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CY</w:t>
      </w:r>
      <w:r w:rsidR="00B8365B" w:rsidRPr="008C0E9D">
        <w:rPr>
          <w:rFonts w:asciiTheme="minorHAnsi" w:hAnsiTheme="minorHAnsi" w:cstheme="minorHAnsi"/>
          <w:b/>
          <w:sz w:val="28"/>
          <w:szCs w:val="28"/>
        </w:rPr>
        <w:t>”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§ 1</w:t>
      </w:r>
    </w:p>
    <w:p w:rsidR="00B8365B" w:rsidRPr="008C0E9D" w:rsidRDefault="00B8365B" w:rsidP="008C0E9D">
      <w:pPr>
        <w:spacing w:before="120" w:line="240" w:lineRule="auto"/>
        <w:ind w:left="0" w:hanging="5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Niniejszy regulamin określa tryb </w:t>
      </w:r>
      <w:r w:rsidR="006F697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i warunki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udzielania pożyczek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przez 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każdego z 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Pośrednik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ów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Finansow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ych</w:t>
      </w:r>
      <w:r w:rsidR="002E2E2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(Lidera Konsorcjum lub każdego z Uczestników Konsorcjum)</w:t>
      </w:r>
      <w:r w:rsidR="00F55D2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działających</w:t>
      </w:r>
      <w:r w:rsidR="00F55D2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także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wspólnie w ramach</w:t>
      </w:r>
      <w:r w:rsidR="00B456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Konsorcjum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składzie: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>Małopolska Agencja Rozwoju Regionalnego S.A. z siedzibą w Krakowie</w:t>
      </w:r>
      <w:r w:rsidRPr="008C0E9D">
        <w:rPr>
          <w:rFonts w:asciiTheme="minorHAnsi" w:hAnsiTheme="minorHAnsi" w:cstheme="minorHAnsi"/>
        </w:rPr>
        <w:t>, ul.</w:t>
      </w:r>
      <w:r w:rsidR="00F55D2B" w:rsidRPr="008C0E9D">
        <w:rPr>
          <w:rFonts w:asciiTheme="minorHAnsi" w:hAnsiTheme="minorHAnsi" w:cstheme="minorHAnsi"/>
        </w:rPr>
        <w:t> </w:t>
      </w:r>
      <w:r w:rsidRPr="008C0E9D">
        <w:rPr>
          <w:rFonts w:asciiTheme="minorHAnsi" w:hAnsiTheme="minorHAnsi" w:cstheme="minorHAnsi"/>
        </w:rPr>
        <w:t>Kordylewskiego 11, 31-542 Kraków, działającą na podstawie wpisu do Krajowego Rejestru Sądowego o numerze 0000033198, o numerze identyfikacji podatkowej NIP</w:t>
      </w:r>
      <w:r w:rsidR="00F55D2B" w:rsidRPr="008C0E9D">
        <w:rPr>
          <w:rFonts w:asciiTheme="minorHAnsi" w:hAnsiTheme="minorHAnsi" w:cstheme="minorHAnsi"/>
        </w:rPr>
        <w:t> </w:t>
      </w:r>
      <w:r w:rsidRPr="008C0E9D">
        <w:rPr>
          <w:rFonts w:asciiTheme="minorHAnsi" w:hAnsiTheme="minorHAnsi" w:cstheme="minorHAnsi"/>
        </w:rPr>
        <w:t>676-00-58-847 i numerze REGON 350239017</w:t>
      </w:r>
      <w:r w:rsidR="006F6977" w:rsidRPr="008C0E9D">
        <w:rPr>
          <w:rFonts w:asciiTheme="minorHAnsi" w:hAnsiTheme="minorHAnsi" w:cstheme="minorHAnsi"/>
        </w:rPr>
        <w:t xml:space="preserve"> –  zwana również </w:t>
      </w:r>
      <w:r w:rsidR="006F6977" w:rsidRPr="008C0E9D">
        <w:rPr>
          <w:rFonts w:asciiTheme="minorHAnsi" w:hAnsiTheme="minorHAnsi" w:cstheme="minorHAnsi"/>
          <w:b/>
        </w:rPr>
        <w:t>MARR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„Lider Konsorcjum”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>Tarnowska Agencja Rozwoju Regionalnego S.A</w:t>
      </w:r>
      <w:r w:rsidRPr="008C0E9D">
        <w:rPr>
          <w:rFonts w:asciiTheme="minorHAnsi" w:hAnsiTheme="minorHAnsi" w:cstheme="minorHAnsi"/>
        </w:rPr>
        <w:t>., ul. Szujskiego 66, 33-100 Tarnów, działającą na podstawie wpisu do Krajowego Rejestru Sądowego o numerze 0000044181, o numerze identyfikacji podatkowej NIP 873-10-13-754 i numerze REGON 850367515</w:t>
      </w:r>
      <w:r w:rsidR="006F6977" w:rsidRPr="008C0E9D">
        <w:rPr>
          <w:rFonts w:asciiTheme="minorHAnsi" w:hAnsiTheme="minorHAnsi" w:cstheme="minorHAnsi"/>
        </w:rPr>
        <w:t xml:space="preserve"> – zwana również  </w:t>
      </w:r>
      <w:r w:rsidR="006F6977" w:rsidRPr="008C0E9D">
        <w:rPr>
          <w:rFonts w:asciiTheme="minorHAnsi" w:hAnsiTheme="minorHAnsi" w:cstheme="minorHAnsi"/>
          <w:b/>
        </w:rPr>
        <w:t>TA</w:t>
      </w:r>
      <w:r w:rsidR="00B47C23" w:rsidRPr="008C0E9D">
        <w:rPr>
          <w:rFonts w:asciiTheme="minorHAnsi" w:hAnsiTheme="minorHAnsi" w:cstheme="minorHAnsi"/>
          <w:b/>
        </w:rPr>
        <w:t>RR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„Uczestnik Konsorcjum”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 xml:space="preserve">Stowarzyszenie Samorządowe Centrum Przedsiębiorczości i Rozwoju w Suchej Beskidzkiej, </w:t>
      </w:r>
      <w:r w:rsidRPr="008C0E9D">
        <w:rPr>
          <w:rFonts w:asciiTheme="minorHAnsi" w:hAnsiTheme="minorHAnsi" w:cstheme="minorHAnsi"/>
        </w:rPr>
        <w:t>ul. Mickiewicza 175, 34</w:t>
      </w:r>
      <w:r w:rsidR="00FE3F9D" w:rsidRPr="008C0E9D">
        <w:rPr>
          <w:rFonts w:asciiTheme="minorHAnsi" w:hAnsiTheme="minorHAnsi" w:cstheme="minorHAnsi"/>
        </w:rPr>
        <w:t>-200 Sucha Beskidzka działające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0000008543</w:t>
      </w:r>
      <w:r w:rsidRPr="008C0E9D">
        <w:rPr>
          <w:rFonts w:asciiTheme="minorHAnsi" w:hAnsiTheme="minorHAnsi" w:cstheme="minorHAnsi"/>
        </w:rPr>
        <w:t xml:space="preserve">, o numerze identyfikacji podatkowej NIP 552-10-50-138 i numerze REGON 070688619 </w:t>
      </w:r>
      <w:r w:rsidR="006F6977" w:rsidRPr="008C0E9D">
        <w:rPr>
          <w:rFonts w:asciiTheme="minorHAnsi" w:hAnsiTheme="minorHAnsi" w:cstheme="minorHAnsi"/>
        </w:rPr>
        <w:t xml:space="preserve">– zwane również </w:t>
      </w:r>
      <w:proofErr w:type="spellStart"/>
      <w:r w:rsidR="006F6977" w:rsidRPr="008C0E9D">
        <w:rPr>
          <w:rFonts w:asciiTheme="minorHAnsi" w:hAnsiTheme="minorHAnsi" w:cstheme="minorHAnsi"/>
          <w:b/>
        </w:rPr>
        <w:t>SSCPiR</w:t>
      </w:r>
      <w:proofErr w:type="spellEnd"/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="006F6977" w:rsidRPr="008C0E9D">
        <w:rPr>
          <w:rFonts w:asciiTheme="minorHAnsi" w:hAnsiTheme="minorHAnsi" w:cstheme="minorHAnsi"/>
        </w:rPr>
        <w:t xml:space="preserve"> </w:t>
      </w:r>
      <w:r w:rsidRPr="008C0E9D">
        <w:rPr>
          <w:rFonts w:asciiTheme="minorHAnsi" w:hAnsiTheme="minorHAnsi" w:cstheme="minorHAnsi"/>
        </w:rPr>
        <w:t>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Fundacja Rozwoju Regionu Rabka,</w:t>
      </w:r>
      <w:r w:rsidRPr="008C0E9D">
        <w:rPr>
          <w:rFonts w:asciiTheme="minorHAnsi" w:hAnsiTheme="minorHAnsi" w:cstheme="minorHAnsi"/>
        </w:rPr>
        <w:t xml:space="preserve"> ul. Orkana 20F/1, 34-700 Rabka Zdrój</w:t>
      </w:r>
      <w:r w:rsidR="00DE76DD" w:rsidRPr="008C0E9D">
        <w:rPr>
          <w:rFonts w:asciiTheme="minorHAnsi" w:hAnsiTheme="minorHAnsi" w:cstheme="minorHAnsi"/>
        </w:rPr>
        <w:t xml:space="preserve">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0000045823</w:t>
      </w:r>
      <w:r w:rsidRPr="008C0E9D">
        <w:rPr>
          <w:rFonts w:asciiTheme="minorHAnsi" w:hAnsiTheme="minorHAnsi" w:cstheme="minorHAnsi"/>
        </w:rPr>
        <w:t>, o numerze identyfikacji podatkowej NIP 735-20-98-361 i numerze REGON 490809437</w:t>
      </w:r>
      <w:r w:rsidR="006F6977" w:rsidRPr="008C0E9D">
        <w:rPr>
          <w:rFonts w:asciiTheme="minorHAnsi" w:hAnsiTheme="minorHAnsi" w:cstheme="minorHAnsi"/>
        </w:rPr>
        <w:t xml:space="preserve"> – zwana również </w:t>
      </w:r>
      <w:r w:rsidR="006F6977" w:rsidRPr="008C0E9D">
        <w:rPr>
          <w:rFonts w:asciiTheme="minorHAnsi" w:hAnsiTheme="minorHAnsi" w:cstheme="minorHAnsi"/>
          <w:b/>
        </w:rPr>
        <w:t>FRRR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Pr="008C0E9D">
        <w:rPr>
          <w:rFonts w:asciiTheme="minorHAnsi" w:hAnsiTheme="minorHAnsi" w:cstheme="minorHAnsi"/>
        </w:rPr>
        <w:t xml:space="preserve"> 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Centrum Biznesu Małopolski Zachodniej Sp. z o.o.</w:t>
      </w:r>
      <w:r w:rsidRPr="008C0E9D">
        <w:rPr>
          <w:rFonts w:asciiTheme="minorHAnsi" w:hAnsiTheme="minorHAnsi" w:cstheme="minorHAnsi"/>
          <w:bCs/>
        </w:rPr>
        <w:t>,</w:t>
      </w:r>
      <w:r w:rsidRPr="008C0E9D">
        <w:rPr>
          <w:rFonts w:asciiTheme="minorHAnsi" w:hAnsiTheme="minorHAnsi" w:cstheme="minorHAnsi"/>
        </w:rPr>
        <w:t xml:space="preserve"> </w:t>
      </w:r>
      <w:r w:rsidR="00056D64" w:rsidRPr="008C0E9D">
        <w:rPr>
          <w:rFonts w:asciiTheme="minorHAnsi" w:hAnsiTheme="minorHAnsi" w:cstheme="minorHAnsi"/>
        </w:rPr>
        <w:t xml:space="preserve">z siedzibą w Oświęcimiu, ul. Unii </w:t>
      </w:r>
      <w:r w:rsidR="007570BD" w:rsidRPr="008C0E9D">
        <w:rPr>
          <w:rFonts w:asciiTheme="minorHAnsi" w:hAnsiTheme="minorHAnsi" w:cstheme="minorHAnsi"/>
        </w:rPr>
        <w:t xml:space="preserve">Europejskiej </w:t>
      </w:r>
      <w:r w:rsidR="00056D64" w:rsidRPr="008C0E9D">
        <w:rPr>
          <w:rFonts w:asciiTheme="minorHAnsi" w:hAnsiTheme="minorHAnsi" w:cstheme="minorHAnsi"/>
        </w:rPr>
        <w:t>10, 32-600 Oświęcim,</w:t>
      </w:r>
      <w:r w:rsidR="00785432" w:rsidRPr="008C0E9D">
        <w:rPr>
          <w:rFonts w:asciiTheme="minorHAnsi" w:hAnsiTheme="minorHAnsi" w:cstheme="minorHAnsi"/>
        </w:rPr>
        <w:t xml:space="preserve">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000005397</w:t>
      </w:r>
      <w:r w:rsidR="007A4EA0" w:rsidRPr="008C0E9D">
        <w:rPr>
          <w:rFonts w:asciiTheme="minorHAnsi" w:hAnsiTheme="minorHAnsi" w:cstheme="minorHAnsi"/>
        </w:rPr>
        <w:t>3</w:t>
      </w:r>
      <w:r w:rsidRPr="008C0E9D">
        <w:rPr>
          <w:rFonts w:asciiTheme="minorHAnsi" w:hAnsiTheme="minorHAnsi" w:cstheme="minorHAnsi"/>
        </w:rPr>
        <w:t xml:space="preserve">, o numerze identyfikacji podatkowej NIP </w:t>
      </w:r>
      <w:r w:rsidR="00056D64" w:rsidRPr="008C0E9D">
        <w:rPr>
          <w:rFonts w:asciiTheme="minorHAnsi" w:hAnsiTheme="minorHAnsi" w:cstheme="minorHAnsi"/>
        </w:rPr>
        <w:t>549-21-21-389</w:t>
      </w:r>
      <w:r w:rsidRPr="008C0E9D">
        <w:rPr>
          <w:rFonts w:asciiTheme="minorHAnsi" w:hAnsiTheme="minorHAnsi" w:cstheme="minorHAnsi"/>
        </w:rPr>
        <w:t xml:space="preserve"> i numerze REGON </w:t>
      </w:r>
      <w:r w:rsidR="00056D64" w:rsidRPr="008C0E9D">
        <w:rPr>
          <w:rFonts w:asciiTheme="minorHAnsi" w:hAnsiTheme="minorHAnsi" w:cstheme="minorHAnsi"/>
        </w:rPr>
        <w:t xml:space="preserve">356371746 </w:t>
      </w:r>
      <w:r w:rsidR="006F6977" w:rsidRPr="008C0E9D">
        <w:rPr>
          <w:rFonts w:asciiTheme="minorHAnsi" w:hAnsiTheme="minorHAnsi" w:cstheme="minorHAnsi"/>
        </w:rPr>
        <w:t xml:space="preserve">– zwana również </w:t>
      </w:r>
      <w:r w:rsidR="006F6977" w:rsidRPr="008C0E9D">
        <w:rPr>
          <w:rFonts w:asciiTheme="minorHAnsi" w:hAnsiTheme="minorHAnsi" w:cstheme="minorHAnsi"/>
          <w:b/>
        </w:rPr>
        <w:t>CBMZ sp. z o.o.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Pr="008C0E9D">
        <w:rPr>
          <w:rFonts w:asciiTheme="minorHAnsi" w:hAnsiTheme="minorHAnsi" w:cstheme="minorHAnsi"/>
        </w:rPr>
        <w:t xml:space="preserve"> 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Agencja</w:t>
      </w:r>
      <w:r w:rsidRPr="008C0E9D">
        <w:rPr>
          <w:rFonts w:asciiTheme="minorHAnsi" w:hAnsiTheme="minorHAnsi" w:cstheme="minorHAnsi"/>
          <w:b/>
        </w:rPr>
        <w:t xml:space="preserve"> Rozwoju Małopolski Zachodniej S.A.</w:t>
      </w:r>
      <w:r w:rsidRPr="008C0E9D">
        <w:rPr>
          <w:rFonts w:asciiTheme="minorHAnsi" w:hAnsiTheme="minorHAnsi" w:cstheme="minorHAnsi"/>
        </w:rPr>
        <w:t>, ul. Grunwaldzka</w:t>
      </w:r>
      <w:r w:rsidR="00785432" w:rsidRPr="008C0E9D">
        <w:rPr>
          <w:rFonts w:asciiTheme="minorHAnsi" w:hAnsiTheme="minorHAnsi" w:cstheme="minorHAnsi"/>
        </w:rPr>
        <w:t xml:space="preserve"> 5, 32-500 Chrzanów,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0000225451, o numerze identyfikacji podatkowej NIP </w:t>
      </w:r>
      <w:r w:rsidRPr="008C0E9D">
        <w:rPr>
          <w:rFonts w:asciiTheme="minorHAnsi" w:hAnsiTheme="minorHAnsi" w:cstheme="minorHAnsi"/>
        </w:rPr>
        <w:tab/>
        <w:t>628-20-88-858 i numerze REGON 356905372</w:t>
      </w:r>
      <w:r w:rsidR="00B47C23" w:rsidRPr="008C0E9D">
        <w:rPr>
          <w:rFonts w:asciiTheme="minorHAnsi" w:hAnsiTheme="minorHAnsi" w:cstheme="minorHAnsi"/>
        </w:rPr>
        <w:t xml:space="preserve"> – z</w:t>
      </w:r>
      <w:r w:rsidR="006F6977" w:rsidRPr="008C0E9D">
        <w:rPr>
          <w:rFonts w:asciiTheme="minorHAnsi" w:hAnsiTheme="minorHAnsi" w:cstheme="minorHAnsi"/>
        </w:rPr>
        <w:t xml:space="preserve">wana również </w:t>
      </w:r>
      <w:r w:rsidR="006F6977" w:rsidRPr="008C0E9D">
        <w:rPr>
          <w:rFonts w:asciiTheme="minorHAnsi" w:hAnsiTheme="minorHAnsi" w:cstheme="minorHAnsi"/>
          <w:b/>
        </w:rPr>
        <w:t>ARMZ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„Uczestnik Konsorcjum”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u w:val="single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Funduszu Pożyczkowego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„Wsparcie </w:t>
      </w:r>
      <w:r w:rsidR="00D44064">
        <w:rPr>
          <w:rFonts w:asciiTheme="minorHAnsi" w:eastAsia="Times New Roman" w:hAnsiTheme="minorHAnsi" w:cstheme="minorHAnsi"/>
          <w:b/>
          <w:kern w:val="0"/>
          <w:lang w:eastAsia="ar-SA" w:bidi="ar-SA"/>
        </w:rPr>
        <w:t>ze środków</w:t>
      </w:r>
      <w:r w:rsidR="00D44064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 EFRR i budżetu państwa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dla MŚP</w:t>
      </w:r>
      <w:r w:rsidR="00FB3A37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działających na rynku powyżej 24 miesi</w:t>
      </w:r>
      <w:r w:rsidR="00BE1CC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ę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cy”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, 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działającego w oparciu 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Operacyjną nr</w:t>
      </w:r>
      <w:r w:rsidR="00A174A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="00233DE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2/RPMP/3818/2018/IX/DIF/136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dnia </w:t>
      </w:r>
      <w:r w:rsidR="009113A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15 października 2018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r., w ramach instrumentu finansowego Pożyczka, o którym mowa w art. 2 pkt 11) Rozporządzenia 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Parlamentu 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 xml:space="preserve">Europejskiego i Rady (UE) nr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1303/2013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 dnia 17 grudnia 2013 r.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b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zwanego dalej Instrumentem Finansowym.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Użyte w niniejszym regulaminie określenia oznaczają: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 wykonawczy </w:t>
      </w:r>
      <w:r w:rsidR="0073507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właściwego Pożyczkodawcy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- odpowiednio Zarząd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y: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SA,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TARR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SA, </w:t>
      </w:r>
      <w:proofErr w:type="spellStart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SSCPiR</w:t>
      </w:r>
      <w:proofErr w:type="spellEnd"/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FRRR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ARMZ SA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lub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CBMZ Sp. z o.o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. </w:t>
      </w:r>
      <w:r w:rsidR="002B0BB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2B0BB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spełniający funkcje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zarządzające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podmiotami</w:t>
      </w:r>
      <w:r w:rsidR="00F8426E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wchodząc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ymi</w:t>
      </w:r>
      <w:r w:rsidR="00F8426E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skład Konsorcjum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Ustawa - Ustawa z dnia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 marca 2018 r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-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Prawo przedsiębiorców (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Dz. U. z 201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8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r. poz.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646)</w:t>
      </w:r>
      <w:r w:rsidR="0077236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Pożyczkodawca –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odpowiednio</w:t>
      </w:r>
      <w:r w:rsidR="002B6F3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każdy z członków Konsorcjum (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SA, TARR SA, </w:t>
      </w:r>
      <w:proofErr w:type="spellStart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SSCPiR</w:t>
      </w:r>
      <w:proofErr w:type="spellEnd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 FRRR, ARMZ SA lub CBMZ Sp. z o.o.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) </w:t>
      </w:r>
      <w:r w:rsidR="002F7B7E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działający samodzielnie i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będący stroną Umowy Pożyczki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140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Pośrednik Finansowy w rozumieniu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Umowy Operacyjnej,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- Ostateczny Odbiorca - MŚP w rozumieniu </w:t>
      </w:r>
      <w:r w:rsidRPr="002C5A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Załącznika nr [2] do Umowy Operacyjnej, który zawarł z Pożyczkodawcą Umowę Inwestycyjną na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zasadach w ni</w:t>
      </w:r>
      <w:r w:rsidR="002668F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ej określonych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;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– osoba ubiegająca się o uzyskanie pożyczki.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Umowa Operacyjna -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Umowa Operacyjna Nr </w:t>
      </w:r>
      <w:r w:rsidR="005470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2/RPMP/3818/2018/IX/DIF/136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zawarta pomiędzy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Konsorcjum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a Bankiem Gospodarstwa Krajowego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(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zwany dalej </w:t>
      </w:r>
      <w:r w:rsidR="00290E55" w:rsidRPr="008C0E9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BGK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)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 dniu </w:t>
      </w:r>
      <w:r w:rsidR="00CD6D74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15.10.2018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r.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(</w:t>
      </w:r>
      <w:r w:rsidR="005D3246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wyciąg istotnych postanowień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umowy stanowi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Z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ałącznik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N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r 1 do 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niniejszego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regulaminu).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Umowa Pożyczki – Umowa Inwestycyjna, w rozumieniu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Pożyczka – pożyczka udzielana Pożyczkobiorcy przez Pożyczkodawcę w ramach Instrumentu Finansowego ze środków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</w:t>
      </w:r>
      <w:r w:rsidR="00AB638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BGK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oraz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Pośrednika Finansowego, na warunkach określonych w Załączniku </w:t>
      </w:r>
      <w:r w:rsidR="00CE52DC">
        <w:rPr>
          <w:rFonts w:asciiTheme="minorHAnsi" w:eastAsia="Times New Roman" w:hAnsiTheme="minorHAnsi" w:cstheme="minorHAnsi"/>
          <w:kern w:val="0"/>
          <w:lang w:eastAsia="ar-SA" w:bidi="ar-SA"/>
        </w:rPr>
        <w:t>n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r [2] do 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Administrator </w:t>
      </w:r>
      <w:r w:rsidR="00BC4FD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jednostka organizacyjna Pożyczkodawcy lub stanowisko pracy </w:t>
      </w:r>
      <w:r w:rsidR="007A0B0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danego Pożyczko</w:t>
      </w:r>
      <w:r w:rsidR="00C46BA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dawcy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obsługujące umowy pożyczkowe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7476FA" w:rsidRPr="008C0E9D" w:rsidRDefault="00A30D81" w:rsidP="008C0E9D">
      <w:pPr>
        <w:numPr>
          <w:ilvl w:val="0"/>
          <w:numId w:val="5"/>
        </w:numPr>
        <w:tabs>
          <w:tab w:val="left" w:pos="-2127"/>
          <w:tab w:val="left" w:pos="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ityk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pracownik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wyznaczon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danego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Pożyczkodawcę, któr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dokonuje pełnej analizy formalnej i merytorycznej wniosku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udzielenie pożyczki.</w:t>
      </w:r>
    </w:p>
    <w:p w:rsidR="00080596" w:rsidRPr="008C0E9D" w:rsidRDefault="00A91EA7" w:rsidP="008C0E9D">
      <w:pPr>
        <w:pStyle w:val="Akapitzlist"/>
        <w:numPr>
          <w:ilvl w:val="0"/>
          <w:numId w:val="5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Komisja Pożyczkowa</w:t>
      </w:r>
      <w:r w:rsidR="00080596" w:rsidRPr="008C0E9D">
        <w:rPr>
          <w:rFonts w:asciiTheme="minorHAnsi" w:hAnsiTheme="minorHAnsi" w:cstheme="minorHAnsi"/>
        </w:rPr>
        <w:t xml:space="preserve"> 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(Komisja) </w:t>
      </w:r>
      <w:r w:rsidR="00AB638F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–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komisj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działając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ramach struktur właściwego Pożyczkodawcy złożon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z członków</w:t>
      </w:r>
      <w:r w:rsidR="00BF28C7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 którzy złożyli oświadczenie o </w:t>
      </w:r>
      <w:r w:rsidR="00CE52DC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bezstronności w brzmieniu Załącznik</w:t>
      </w:r>
      <w:r w:rsidR="009F0614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Nr 2 do niniejszego regulaminu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dokonująca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ostatecznej analizy składanych wniosków o</w:t>
      </w:r>
      <w:r w:rsidR="003C65C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udzielenie pożyczki.</w:t>
      </w:r>
    </w:p>
    <w:p w:rsidR="0015717C" w:rsidRPr="00CE52DC" w:rsidRDefault="0015717C" w:rsidP="00F2441B">
      <w:pPr>
        <w:pStyle w:val="Poziom2"/>
        <w:numPr>
          <w:ilvl w:val="0"/>
          <w:numId w:val="5"/>
        </w:numPr>
        <w:tabs>
          <w:tab w:val="clear" w:pos="113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CE52DC">
        <w:rPr>
          <w:rFonts w:asciiTheme="minorHAnsi" w:hAnsiTheme="minorHAnsi" w:cstheme="minorHAnsi"/>
          <w:sz w:val="24"/>
          <w:szCs w:val="24"/>
        </w:rPr>
        <w:t>MŚP – mikro, małe i średnie przedsiębiorstwa w rozumieniu Załącznika I do Rozporządzenia 651/2014.</w:t>
      </w:r>
    </w:p>
    <w:p w:rsidR="00B8365B" w:rsidRPr="008C0E9D" w:rsidRDefault="00B8365B" w:rsidP="00BF28C7">
      <w:pPr>
        <w:spacing w:before="120" w:line="240" w:lineRule="auto"/>
        <w:ind w:left="150" w:hanging="15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3</w:t>
      </w:r>
    </w:p>
    <w:p w:rsidR="00B8365B" w:rsidRPr="008C0E9D" w:rsidRDefault="00B8365B" w:rsidP="008C0E9D">
      <w:p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color w:val="000000"/>
          <w:kern w:val="0"/>
          <w:lang w:eastAsia="en-US" w:bidi="ar-SA"/>
        </w:rPr>
        <w:t xml:space="preserve">Pożyczkę otrzymać mogą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przedsiębiorcy spełniający łącznie następujące kryteria: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znajdują się w trudnej sytuacji w rozumieniu pkt. 20 Wytycznych dotyczących pomocy państwa na ratowanie i restrukturyzację przedsiębiorstw niefinansowych znajdujących się w trudnej sytuacji (Dz. Urz. UE C  249/1 z 31.07.2014 r.),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nie ciąży na nich obowiązek zwrotu pomocy, wynikający z decyzji Komisji Europejskiej uznającej pomoc za niezgodną z prawem oraz ze wspólnym rynkiem lub orzeczenia sądu krajowego lub unijnego,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są mikro, małym lub średnim przedsiębiorstwem w rozumieniu przepisów załącznika nr I Rozporządzenia Komisji (UE) nr 651/2014 z dnia 17 czerwca 2014 r., uznającego niektóre rodzaje pomocy za zgodne z rynkiem wewnętrznym w zastosowaniu art. 107 i 108 Traktatu,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są wykluczeni, stosownie do Rozporządzenia Komisji (UE) nr 1407/2013 z dnia 18</w:t>
      </w:r>
      <w:r w:rsidR="00183111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de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(jeżeli przedsiębiorstwo ubiega się o pomoc de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podlegają wykluczeniu z możliwości dostępu do środków publicznych na podstawie przepisów prawa lub wykluczeniu takiemu nie podlegają osoby uprawnione do ich reprezentacji.</w:t>
      </w:r>
    </w:p>
    <w:p w:rsidR="00B8365B" w:rsidRPr="008C0E9D" w:rsidRDefault="00B8365B" w:rsidP="00BF28C7">
      <w:pPr>
        <w:spacing w:before="120" w:line="240" w:lineRule="auto"/>
        <w:ind w:left="510" w:hanging="51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4</w:t>
      </w:r>
    </w:p>
    <w:p w:rsidR="00B8365B" w:rsidRPr="008C0E9D" w:rsidRDefault="00B8365B" w:rsidP="008C0E9D">
      <w:pPr>
        <w:spacing w:before="120" w:line="240" w:lineRule="auto"/>
        <w:ind w:hanging="71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Warunkiem ubiegania się o przyznanie pożyczki jest: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wskazanie przeznaczenia pożyczki zgodnego z niniejszym regulaminem,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posiadanie zdolności spłaty pożyczki wraz z odsetkami w terminach i na warunkach określonych w umowie</w:t>
      </w:r>
      <w:r w:rsidR="003D38D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wiarygodności określonej w niniejszym regulaminie,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spłacalności zaciągniętych pożyczek i kredytów,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uzyskanie pozytywnej oceny zaproponowanych zabezpieczeń pożyczki,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akceptacja wzoru umowy pożyczki oraz innych warunków przyznania pożyczki.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5</w:t>
      </w:r>
    </w:p>
    <w:p w:rsidR="00B8365B" w:rsidRPr="008C0E9D" w:rsidRDefault="00B8365B" w:rsidP="008C0E9D">
      <w:pPr>
        <w:numPr>
          <w:ilvl w:val="0"/>
          <w:numId w:val="25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 xml:space="preserve">Pożyczka może zostać przeznaczona wyłącznie na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przedsięwzięcia inwestycyjne, na terenie województwa małopolskiego realizowane przez MŚP działające na rynku dłużej niż 24 miesiące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w nowoczesne maszyny, urządzenia i sprzęt produkcyjny, w celu wprowadzenia na rynek nowych lub ulepszonych produktów lub usług,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rozwój sprzedaży produktów i usług w Internecie (handel elektroniczny),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dotyczące stosowania w działalności gospodarczej technologii informacyjno – komunikacyjnych (TIK),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przedsięwzięcia z zakresu dostosowania istniejących instalacji produkcyjnych do standardów najlepszych dostępnych technik (BAT –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best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available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technology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) – nowoczesne rozwiązania umożliwiające redukcję kosztów działalności rynkowej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w przedsiębiorstwach, wynikającą z mniejszego zużycia energii lub bardziej efektywnego wykorzystania surowców (jako element kompleksowego projektu),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B8365B" w:rsidRPr="008C0E9D" w:rsidRDefault="00B8365B" w:rsidP="008C0E9D">
      <w:pPr>
        <w:widowControl w:val="0"/>
        <w:numPr>
          <w:ilvl w:val="0"/>
          <w:numId w:val="25"/>
        </w:numPr>
        <w:autoSpaceDE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Udział Pożyczki w koszcie realizowanego przedsięwzięcia może stanowić do 100% jego wartości.</w:t>
      </w:r>
    </w:p>
    <w:p w:rsidR="00B8365B" w:rsidRPr="008C0E9D" w:rsidRDefault="00B8365B" w:rsidP="00BF28C7">
      <w:pPr>
        <w:spacing w:before="120" w:line="240" w:lineRule="auto"/>
        <w:ind w:left="720" w:hanging="7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6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Pożyczka nie może być przeznaczona na: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wydatków pokrytych uprzednio ze środków EFSI, z innych funduszy, programów, środków i instrumentów Unii Europejskiej lub innych źródeł pomocy krajowej lub zagranicznej,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inwestycji, które w dniu podjęcia decyzji inwestycyjnej zostały fizycznie ukończone lub w pełni zrealizowane;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jakichkolwiek pożyczek lub kredytów;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spłatę zobowiązań publiczno – prawnych Pożyczkobiorcy,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wytwarzania, przetwórstwa lub wprowadzania do obrotu tytoniu i wyrobów tytoniowych;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20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zakupu udziałów lub akcji innego przedsiębiorstwa;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napojów alkoholowych;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treści pornograficznych;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obrotu materiałami wybuchowymi, bronią i amunicją;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gier losowych, zakładów wzajemnych, gier na automatach i gier na automatach o niskich wygranych;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środków odurzających, substancji psychotropowych lub prekursorów;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likwidacji lub budowy elektrowni jądrowych;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na rzecz redukcji emisji gazów cieplarnianych pochodzących z listy działań wymienionych w załączniku I do dyrektywy 2003/87/WE;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całkowitych wydatków </w:t>
      </w:r>
      <w:r w:rsidR="00362812"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kwalifikowanych projektu finansowanego jednostkową Pożyczką udzieloną na rzecz Ostatecznego Odbiorcy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290E55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Jeden Pożyczkobiorca</w:t>
      </w:r>
      <w:r w:rsidR="00B8365B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może otrzymać w ramach niniejszego Funduszu Pożyczkowego nie więcej niż dwie pożyczki, w takim przypadku łączna wartość pożyczek nie może przekroczyć kwoty o której mowa w </w:t>
      </w:r>
      <w:r w:rsidR="00B8365B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§ 10 ust.1.</w:t>
      </w:r>
    </w:p>
    <w:p w:rsidR="009F0614" w:rsidRPr="008C0E9D" w:rsidRDefault="009F0614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W przypadku gdy Pożyczkobiorcą są przedsiębiorcy działający wspólnie w oparciu o</w:t>
      </w:r>
      <w:r w:rsidR="00695DB9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umowę spółki cywilnej przyjmuje się, że pożyczkobiorcą jest spółka cywilna.</w:t>
      </w:r>
    </w:p>
    <w:p w:rsidR="00B8365B" w:rsidRPr="008C0E9D" w:rsidRDefault="00B8365B" w:rsidP="008C0E9D">
      <w:pPr>
        <w:spacing w:before="12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7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udzielania pożyczki na warunkach rynkowych obliczenia st</w:t>
      </w:r>
      <w:r w:rsidR="00AE5CE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opy referencyjnej wnioskodawcy.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Stopa referencyjna  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Dz.Urz</w:t>
      </w:r>
      <w:proofErr w:type="spellEnd"/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:rsidR="006C5BB3" w:rsidRPr="008C0E9D" w:rsidRDefault="006C5BB3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Jednostkowe Pożyczki udzielane są po: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pozytywnym zweryfikowaniu zgodności inwestycji z celami, na które przewidziano wsparcie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przeprowadzeniu z wynikiem pozytywnym oceny zdolności kredytowej Ostatecznego Odbiorcy zgodnie z</w:t>
      </w:r>
      <w:r w:rsidR="005A4B7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e stosowaną przez Pożyczkodawcę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metodyką służącą do identyfikacji i oceny Ostatecznych Odbiorców,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:rsidR="006C5BB3" w:rsidRPr="008C0E9D" w:rsidRDefault="009F0614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zaakceptowaniu proponowanych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 Ostatecznego Odbiorcę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form zabezpieczeń Jednostkowej Pożyczki, zgodnie z metodyką służącą do identyfikacji ryzyka 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związku z zaciąganymi zobowiązaniami przez Ostatecznych Odbiorców.</w:t>
      </w:r>
    </w:p>
    <w:p w:rsidR="00B8365B" w:rsidRPr="008C0E9D" w:rsidRDefault="00CD658D" w:rsidP="008C0E9D">
      <w:p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4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ab/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wniosku pożyczk</w:t>
      </w:r>
      <w:r w:rsidR="001D547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owego dokonuje się na podstawie dokumentów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świadczących o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spełnianiu warunków, o których mowa w § 3 i 4 oraz warunku działania na rynku</w:t>
      </w:r>
      <w:r w:rsidR="00B8365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dłużej niż 24 miesiące</w:t>
      </w:r>
      <w:r w:rsidR="001D547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w tym w szczególności</w:t>
      </w:r>
      <w:r w:rsidR="001D547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: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dokumentów rejestrowych podmiotu</w:t>
      </w:r>
      <w:r w:rsidR="008C66B0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(wpis do rejestru przedsiębiorców, NIP, Regon)</w:t>
      </w:r>
      <w:r w:rsidR="00B8365B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dokumentów finansowych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zaświadczeń i oświadczeń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wskaźników ekonomicznych,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dokumentów dotyczących </w:t>
      </w:r>
      <w:r w:rsidR="0096664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zabezpieczenia pożyczki</w:t>
      </w:r>
    </w:p>
    <w:p w:rsidR="00966649" w:rsidRPr="008C0E9D" w:rsidRDefault="00966649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innych dokumentów</w:t>
      </w:r>
      <w:r w:rsidR="00E14B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8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Zabezpieczenie pożyczki, bez względu na jej wysokość następuje z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zastrzeżeniem ust.2</w:t>
      </w:r>
      <w:r w:rsidRPr="008C0E9D">
        <w:rPr>
          <w:rFonts w:asciiTheme="minorHAnsi" w:eastAsia="Times New Roman" w:hAnsiTheme="minorHAnsi" w:cstheme="minorHAnsi"/>
          <w:color w:val="FF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formie wskazanej przez Pożyczkodawcę. Zabezpieczenie uwzględnia rodzaj pożyczki, jej wysokość, ocenę ryzyka i jest dokonywane poprzez: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wekslowe,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osoby trzeciej, wg prawa cywilnego,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przewłaszczenie rzeczy na zabezpieczenie,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zastaw zwykły i zastaw rejestrowy,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hipotekę na nieruchomości,</w:t>
      </w:r>
    </w:p>
    <w:p w:rsidR="00B8365B" w:rsidRPr="008C0E9D" w:rsidRDefault="00427E08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oświadczenie o podda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niu się egzekucji w trybie art. 777 §1 pkt 5 Kodeksu </w:t>
      </w: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postępowania cywilnego, w formie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aktu notarialnego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2E4BD1" w:rsidRPr="008C0E9D" w:rsidRDefault="002E4BD1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gwarancja bankowa,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inne uzgodnione przez strony. 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Oceny zabezpieczenia dokonuje organ wykonawczy właściwego Pożyczkodawcy, po zapoznaniu się z opinią Analityka.</w:t>
      </w:r>
    </w:p>
    <w:p w:rsidR="00B8365B" w:rsidRPr="008C0E9D" w:rsidRDefault="008C66B0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Weksel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własny </w:t>
      </w:r>
      <w:r w:rsidR="001766E5"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in blanco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wraz z deklaracją wekslową 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jest zabezpieczeniem obligatoryj</w:t>
      </w:r>
      <w:r w:rsidR="00F0258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nym każdej udzielonej pożyczki.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9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może wnieść  wkład własny na realizację  planowanego przedsięwzięcia.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wkład własny rozumie się środki finansowe Pożyczkobiorcy oraz związane z planowanym przedsięwzięciem: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zgromadzone i opłacone materiały budowlane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zakupione maszyny i urządzenia.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inne, stanowiące aktywa przedsiębiorcy.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10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udzielonej pożyczki nie może być niższa niż 10.000,00 zł. i  przekroczyć kwoty 1.000.000,00 zł  z zastrzeżeniem ust. 2 - ust. </w:t>
      </w:r>
      <w:r w:rsidR="001E41FA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4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udzielanych pożyczek winna odpowiadać ustalonemu limitowi wartości pożyczek. 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Na udzielenie</w:t>
      </w:r>
      <w:r w:rsidR="00FB6CC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jednostkowych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pożyczek</w:t>
      </w:r>
      <w:r w:rsidR="004D168F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do kwoty 100.000,00 zł przeznacza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się minimum </w:t>
      </w:r>
      <w:r w:rsidR="007918FF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kwotę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9</w:t>
      </w:r>
      <w:r w:rsidR="00831155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.000.000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,00zł</w:t>
      </w:r>
      <w:r w:rsidR="00E452AC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z której </w:t>
      </w:r>
      <w:r w:rsidR="00E83038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każdy z </w:t>
      </w:r>
      <w:r w:rsidR="009135E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członk</w:t>
      </w:r>
      <w:r w:rsidR="00E83038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ów</w:t>
      </w:r>
      <w:r w:rsidR="00E452AC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Konsorcjum realizuj</w:t>
      </w:r>
      <w:r w:rsidR="00E83038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e</w:t>
      </w:r>
      <w:r w:rsidR="009135E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do limitów</w:t>
      </w:r>
      <w:r w:rsidR="00E452AC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określon</w:t>
      </w:r>
      <w:r w:rsidR="009135E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ych</w:t>
      </w:r>
      <w:r w:rsidR="00E452AC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dla każdego uczestnika</w:t>
      </w:r>
      <w:r w:rsidR="009135E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="00E452AC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zgodnie z limitem produktu.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Nie rozdysponowane środki w ramach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limitu 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wartości pożyczek o </w:t>
      </w:r>
      <w:r w:rsidR="00BA4414"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którym 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mowa w ust. 3 </w:t>
      </w:r>
      <w:r w:rsidR="004D168F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są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przeznaczone na pożyczki powyżej kwoty </w:t>
      </w:r>
      <w:r w:rsidR="008D6F10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100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.000,00 złotych.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lastRenderedPageBreak/>
        <w:t>Ostateczną wysokość przyznanej pożyczki określa organ wykonawczy właściwego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11</w:t>
      </w:r>
    </w:p>
    <w:p w:rsidR="00B8365B" w:rsidRPr="008C0E9D" w:rsidRDefault="00B8365B" w:rsidP="008C0E9D">
      <w:pPr>
        <w:spacing w:before="120" w:after="120" w:line="240" w:lineRule="auto"/>
        <w:ind w:left="0" w:firstLine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ramach Funduszu Pożyczkowego preferowane będą projekty realizowane: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zakresie Regionalnych Inteligentnych Specjalizacji</w:t>
      </w:r>
      <w:r w:rsidR="00A0251D" w:rsidRPr="008C0E9D">
        <w:rPr>
          <w:rStyle w:val="Odwoanieprzypisudolnego"/>
          <w:rFonts w:asciiTheme="minorHAnsi" w:eastAsia="Calibri" w:hAnsiTheme="minorHAnsi" w:cstheme="minorHAnsi"/>
          <w:kern w:val="0"/>
          <w:lang w:eastAsia="en-US" w:bidi="ar-SA"/>
        </w:rPr>
        <w:footnoteReference w:id="1"/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zgodnie z definicją zawartą w Umowie Operacyjnej;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terenach o niskiej aktywności gospodarczej, 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>(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wskazanych w Zał. nr 13 do Umowy Operacyjnej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–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Wykaz obszarów o niskim poziomie aktywności gospodarczej w województwie małopolskim),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stanowiącym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ałącznik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N</w:t>
      </w:r>
      <w:r w:rsidR="0085530C">
        <w:rPr>
          <w:rFonts w:asciiTheme="minorHAnsi" w:eastAsia="Calibri" w:hAnsiTheme="minorHAnsi" w:cstheme="minorHAnsi"/>
          <w:kern w:val="0"/>
          <w:lang w:eastAsia="en-US" w:bidi="ar-SA"/>
        </w:rPr>
        <w:t>r 3 do niniejszego regulaminu.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Obszary te będą podlegały cyklicznej aktualizacji zgodnie z danymi publikowanymi przez GUS</w:t>
      </w:r>
      <w:r w:rsidR="009964B8"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12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Pożyczki udzielane w ramach Funduszu Pożyczkowego są oprocentowane: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,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warunkach korzystniejszych niż rynkowe, zgodnie z zasadami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o których mowa w Rozporządzeniu Komisji  (UE) nr 1407/2013 z dnia 18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oraz Rozporządzenia Ministra Infrastruktury i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Rozwoju z dnia 19 marca 2015 r. w sprawie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w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ramach regionalnych programów operacyjnych na lata 2014–2020 (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Dz.U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. 2015 poz. 488 z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późniejszymi zmianami). W przypadku wystąpienia pomocy w formie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obowiązek badania dopuszczalności pomocy, obliczan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 xml:space="preserve">ia wartości udzielonej pomocy,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zgłaszania faktu udzielenia takiej pomocy, wydania stosownego zaświadczenia oraz składania sprawozdań z udzielonej pomocy publicznej do właściwej instytucji spoczywa na Pośredniku Finansowym, zgodnie z  odpowiednimi przepisami.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zgodnie z Komunikatem Komisji Europejskiej nr 2008/C 14/02.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 xml:space="preserve">Oprocentowanie Pożyczki udzielanej na zasadach rynkowych jest stałe w całym okresie jej obowiązywania.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niespełnienia przez Pożyczkobiorcę jakiegokolwiek z warunków umożliwiających udzielenie pomocy </w:t>
      </w: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 xml:space="preserve">de </w:t>
      </w:r>
      <w:proofErr w:type="spellStart"/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minimis</w:t>
      </w:r>
      <w:proofErr w:type="spellEnd"/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finansowanie jest udzielane na zasadach rynkowych.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Pożyczki udzielane w ramach niniejszego regulaminu są wolne od prowizji oraz opłat dodatkowych.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13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spłaty pożyczki z uwzględnieniem karencji wynosi 84 miesiące liczone od dnia uruchomienia pożyczki</w:t>
      </w:r>
      <w:r w:rsidRPr="008C0E9D">
        <w:rPr>
          <w:rFonts w:asciiTheme="minorHAnsi" w:eastAsia="Times New Roman" w:hAnsiTheme="minorHAnsi" w:cstheme="minorHAnsi"/>
          <w:color w:val="92D05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karencji w spłacie kapitału wynosi 6 miesięcy od dnia uruchomienia pożyczki.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dzień uruchomienia pożyczki rozumie się dzień wypłaty pożyczki albo jej pierwszej transzy</w:t>
      </w:r>
      <w:r w:rsidR="00A071AC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14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Okres spłaty pożyczki oraz ewentualny okres karencji w spłac</w:t>
      </w:r>
      <w:r w:rsidR="00F34C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ie kapitału jest ustalany przez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Pożyczkodawcę każdorazowo w umowie pożyczki.</w:t>
      </w:r>
    </w:p>
    <w:p w:rsidR="00B8365B" w:rsidRPr="008C0E9D" w:rsidRDefault="00B8365B" w:rsidP="008C0E9D">
      <w:pPr>
        <w:spacing w:before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15</w:t>
      </w:r>
    </w:p>
    <w:p w:rsidR="00B8365B" w:rsidRPr="008C0E9D" w:rsidRDefault="00B8365B" w:rsidP="008C0E9D">
      <w:pPr>
        <w:numPr>
          <w:ilvl w:val="0"/>
          <w:numId w:val="3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Warunkiem wystąpienia o udzielenie pożyczki jest złożenie,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przez </w:t>
      </w:r>
      <w:r w:rsidR="00FA0E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wniosku o udzielenie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pożyczki zwanego dalej wnioskiem pożyczkowym.</w:t>
      </w:r>
    </w:p>
    <w:p w:rsidR="009B18F6" w:rsidRPr="008C0E9D" w:rsidRDefault="00FA0E09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Wnioskodawca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składa wniosek o przyznanie pożyczki, wraz z kompletem dokumentów, bezpośrednio</w:t>
      </w:r>
      <w:r w:rsidR="004907D5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u Pośrednika Finansowego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biurach 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wybranego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Pożyczkodawcy tj.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E2413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MARR 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SA, TARR SA, </w:t>
      </w:r>
      <w:proofErr w:type="spellStart"/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SSCPiR</w:t>
      </w:r>
      <w:proofErr w:type="spellEnd"/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</w:t>
      </w:r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ARMZ SA, FFRR lub CBMZ Sp. z o.o.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lub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dodatkowych placówkach wskazanych przez Pożyczkodawców.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Wniosek poddany jest wstępnej analizie merytorycznej oraz ocenie przedsięwzięcia, której dokonuje pracownik danego biura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</w:t>
      </w:r>
      <w:r w:rsidR="0034081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e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rminie do </w:t>
      </w:r>
      <w:r w:rsidR="00B35E10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1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4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dni roboczych od dnia złożenia wniosku.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Wnioski rozpatrywane są przez Pośrednika Finansowego wg kolejności w jakiej do niego wpłynęły.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bądź zakończenia realizacji projektu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na warunkach określonych w umowie operacyjnej zawartej pomiędzy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a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Konsorcjum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. Dokumentacja związana z naborem wniosków, w tym wzór wniosku wraz z informacją o wymaganych dokumentach, dostępne są na stronach internetowych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każdego z członków Konsorcjum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(strona internetowa </w:t>
      </w:r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MARR SA, TARR SA, </w:t>
      </w:r>
      <w:proofErr w:type="spellStart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SSCPiR</w:t>
      </w:r>
      <w:proofErr w:type="spellEnd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,ARMZ SA, FFRR lub CBMZ Sp. z </w:t>
      </w:r>
      <w:proofErr w:type="spellStart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o.o</w:t>
      </w:r>
      <w:proofErr w:type="spellEnd"/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).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przypadku braku okresowo wolnych środków Pośrednik Finansowy informuje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 pozostawieniu bez rozpatrzenia złożonego wniosku do czasu otrzymania kolejnej transzy środków od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Równolegle, w przypadku stwierdzenia braku wymaganych dokumentów lub wystąpienia innych nieprawidłowości, Pośrednik Finansowy zawiadamia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lastRenderedPageBreak/>
        <w:t xml:space="preserve">– pocztą elektroniczną, faksem lub telefonicznie - o konieczności uzupełnienia/skorygowania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przez Wnioskodawcę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dostarczonej</w:t>
      </w:r>
      <w:r w:rsidR="006B5AE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przez niego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dokumentacji</w:t>
      </w:r>
      <w:r w:rsidR="005D0239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 Wnioskodawca ma obowiązek uzupełnienia dokumentacji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- bez rozpatrzenia.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16</w:t>
      </w:r>
    </w:p>
    <w:p w:rsidR="00B8365B" w:rsidRPr="008C0E9D" w:rsidRDefault="00B8365B" w:rsidP="008C0E9D">
      <w:pPr>
        <w:numPr>
          <w:ilvl w:val="0"/>
          <w:numId w:val="39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 wniosku pożyczkowego załącza się dokumenty wymienione we wzorze wniosku pożyczkowego, a w szczególności:</w:t>
      </w:r>
    </w:p>
    <w:p w:rsidR="00A071AC" w:rsidRPr="008C0E9D" w:rsidRDefault="002E4BD1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</w:t>
      </w:r>
      <w:r w:rsidR="00A071AC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aświadczenie o wpisie do Centralnej Ewidencji i Informacji o Działalności Gospodarczej lub wpisie do Krajowego Rejestru Sądowego,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zaświadczenia o niezaleganiu wobec ZUS i US wystawione nie wcześniej niż na 1 miesiąc przed  dniem składania wniosku pożyczkowego lub w uzasadnionych przypadkach stosowne oświadczenia Wnioskodawcy 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oświadczenie o spełnieniu kryteriów podmiotowych przez Wnioskodawcę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stanowiące załącznik do Wniosku </w:t>
      </w:r>
      <w:r w:rsidR="00EC0A6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pożyczkowego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A071AC" w:rsidRPr="008C0E9D" w:rsidRDefault="00A071AC" w:rsidP="00987F23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Pożyczkodawca, o ile jest to niezbędne do prawidłowej oceny wiarygodności Wnioskodawcy, może żądać informacji lub dokumentów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innych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ni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ż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wymienion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 w ust. 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1.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17</w:t>
      </w:r>
    </w:p>
    <w:p w:rsidR="004907D5" w:rsidRPr="00461209" w:rsidRDefault="00B8365B" w:rsidP="008C0E9D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Po zakończeniu wstępnej analizy wniosek pożyczkowy przekazywany jest niezwłocznie </w:t>
      </w:r>
      <w:r w:rsidR="00E50BC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– nie dłużej niż do 5 dni roboczych, 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 rozpatrzenia Analitykowi  celem sporządzenia jego oceny.</w:t>
      </w:r>
    </w:p>
    <w:p w:rsidR="00461209" w:rsidRPr="00461209" w:rsidRDefault="00B8365B" w:rsidP="00461209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Analityk składa oświadczenie o bezstronności w stosunku do osoby ubiegającej się o</w:t>
      </w:r>
      <w:r w:rsidR="00B5031E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udzielenie pożyczki wg wzoru stanowiącego załącznik nr </w:t>
      </w:r>
      <w:r w:rsidR="00540AA0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 niniejszego regulaminu.</w:t>
      </w:r>
    </w:p>
    <w:p w:rsidR="00B8365B" w:rsidRPr="00461209" w:rsidRDefault="00461209" w:rsidP="00461209">
      <w:pPr>
        <w:pStyle w:val="Akapitzlist"/>
        <w:numPr>
          <w:ilvl w:val="0"/>
          <w:numId w:val="21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B8365B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Jeżeli Analityk pozostaje w konflikcie interesów, zostaje  wyłączony z rozpatrywania wniosku pożyczkowego, w takim przypadku analizy dokonuje inna osoba wyznaczona przez organ wykonawczy właściwego Pożyczkodawcy.</w:t>
      </w:r>
    </w:p>
    <w:p w:rsidR="00B8365B" w:rsidRPr="008C0E9D" w:rsidRDefault="0018146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18</w:t>
      </w:r>
    </w:p>
    <w:p w:rsidR="00B8365B" w:rsidRPr="008C0E9D" w:rsidRDefault="00B8365B" w:rsidP="008C0E9D">
      <w:pPr>
        <w:numPr>
          <w:ilvl w:val="0"/>
          <w:numId w:val="43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pożyczkowy rozpatrywany jest w dwóch etapach: 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sprawdzenie poprawności i kompletności wniosku pożyczkowego wraz z załączonymi dokumentami,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analiza ryzyka 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może obejmować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: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okres prowadzenia działalności 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kapitałów własnych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posiadany majątek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wysokość i terminy zapadalności należności i zobowiązań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zapasów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</w:t>
      </w:r>
      <w:r w:rsidR="007657F4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jeśli dotyczy)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>aktualne i przeszłe wyniki finansowe oraz prognozy finansowe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koncentrację odbiorców i dostawców oraz okres współpracy z nimi.</w:t>
      </w:r>
    </w:p>
    <w:p w:rsidR="00E05056" w:rsidRPr="008C0E9D" w:rsidRDefault="00E05056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Wniosek pożyczkowy jest rozpatrywany nie później niż w ciągu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30 dni od dnia jego przekazania do Analityka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uzasadnionych przypadkach, nie później niż w ciągu 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60</w:t>
      </w:r>
      <w:r w:rsidR="0014749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dni od dnia jego przekazania do Analityka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Analityk po rozpatrzeniu wniosku</w:t>
      </w:r>
      <w:r w:rsidR="00037382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 przedstawia swoją analizę Komisji Pożyczkowej, która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wydaje opinię końcową.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stwierdzenia braków wniosku pożyczkowego wyznacza się Wnioskodawcy dodatkowy termin na uzupełnienie braków.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Postanowienia §1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5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ust.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6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stosuje się odpowiednio.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19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 uzyskaniu przez wniosek pożyczkowy </w:t>
      </w:r>
      <w:r w:rsidR="00037382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opinii końcowej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wydanej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przez Komisję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Pożyczkową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przedkładany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E0505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organowi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wykonawczemu właściwego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0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właściwego Pożyczkodawcy podejmuje uchwałę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/zarządzenie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przyznaniu pożyczki lub o odmowie jej przyznania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terminie 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14 dni od dnia dokonania oceny i przekazaniu jej przez Analityka organowi wykonawczemu.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Postanowienia § </w:t>
      </w:r>
      <w:r w:rsidR="0018146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17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ust.2 i ust.3 stosuje się odpowiednio do Członków organu wykonawczego  właściwego Pożyczkodawcy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oraz każdego z członków Komisji Pożyczkowej.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podjętej uchwale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/zarządzeniu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zostaje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powiadomiony pisemnie za pośrednictwem mail/fax/poczty w terminie do 7 dni od daty podjęcia uchwały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/zarządzenia</w:t>
      </w:r>
      <w:r w:rsidR="007D4D1F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/decyzji.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/zarządzenia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/decyzje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których mowa w ust. 1 nie podlegają zaskarżeniu.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właściwego Pożyczkodawcy może odmówić przyznania pożyczki 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negatywnej oceny wniosku lub oferowanych zabezpieczeń, albo w innych przypadkach wskazujących na ryzyko utraty pożyczki.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22</w:t>
      </w:r>
    </w:p>
    <w:p w:rsidR="00B8365B" w:rsidRPr="008C0E9D" w:rsidRDefault="00B8365B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terminie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14 dni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od daty otrzymania informacji o przyznaniu pożyczki, Wnioskodawca któremu przyznano pożyczkę jest zobowiązany, pod rygorem utraty prawa do pożyczki do: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podpisania Umowy pożyczki, </w:t>
      </w:r>
      <w:r w:rsidR="007C16C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której wzór stanowi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załącznik do 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 Zarządu MARR SA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(tj. Zarządu lidera Konsorcjum)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0425CF" w:rsidRDefault="00FE4443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dokonania wymaganych opłat związanych z zabezpieczeniami,</w:t>
      </w:r>
      <w:r w:rsidR="007570BD" w:rsidRPr="008C0E9D">
        <w:rPr>
          <w:rFonts w:asciiTheme="minorHAnsi" w:hAnsiTheme="minorHAnsi" w:cstheme="minorHAnsi"/>
        </w:rPr>
        <w:t xml:space="preserve"> </w:t>
      </w:r>
      <w:r w:rsidR="007570B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i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le co innego nie wynika z Umowy Inwestycyjnej,</w:t>
      </w:r>
    </w:p>
    <w:p w:rsidR="00570A2C" w:rsidRPr="000425CF" w:rsidRDefault="00570A2C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0425CF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lastRenderedPageBreak/>
        <w:t>dokonania ustalonych w trybie §8 zabezpieczeń, o i</w:t>
      </w:r>
      <w:r w:rsidR="00036CEB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le co innego nie wynika z Umowy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:rsidR="00FE4443" w:rsidRPr="008C0E9D" w:rsidRDefault="00FE4443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uza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sadnionych przypadkach, za zgodą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Pożyczkodawcy, termin ten może zostać wydłużony. </w:t>
      </w:r>
    </w:p>
    <w:p w:rsidR="00B8365B" w:rsidRPr="008C0E9D" w:rsidRDefault="00B8365B" w:rsidP="00C264B6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3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 wykonaniu przez Pożyczkobiorcę obowiązków określonych w § 2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 realizację wskazanego w Umowie pożyczki  przedsięwzięcia, następuje jednorazowo lub w transzach.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w walucie polskiej.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Szczegółowy tryb i terminy </w:t>
      </w:r>
      <w:r w:rsidR="00C57535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wypłaty pożyczki reguluje Umowa Inwestycyjna.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pod warunkiem dostępności środków na rachunku Funduszu Pożyczkowego.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4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jest zobowiązany do rozliczenia pożyczki na zasadach określonych w</w:t>
      </w:r>
      <w:r w:rsidR="00E62E1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pożyczki w terminie 90 dni kalendarzowych od daty jej całkowitej wypłaty do Pożyczkobiorcy. W wyjątkowych przypadkach, jeżeli Pożyczkobiorca nie rozliczy pożyczki z przyczyn przez niego niezawinionych Pożyczkodawc</w:t>
      </w:r>
      <w:r w:rsidR="00947DC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może wyrazić zgodę na zmianę terminu rozliczenia. Termin ten może ulec wydłużeniu maksymalnie o 90 dni kalendarzowych. 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Celem rozliczenia pożyczki, Pożyczkobiorca przedstawia: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zakupu towarów i usług</w:t>
      </w:r>
      <w:r w:rsidR="00FE444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(faktury, rachunki, umowy kupna-sprzedaży, inne za zgodą Pożyczkodawcy)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potwierdzające wydatkowanie środków zgodnie z celem, na jaki zostały przyznane</w:t>
      </w:r>
      <w:r w:rsidR="00820771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zapłaty za towary i usługi wymienione w pkt. 1.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31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w każdym przypadku w ramach monitoringu przedsięwzięcia jest zobowiązany na żądanie Pożyczkodawcy przedstawić dokumenty o których mowa w ust. 2 a także umożliwić oględziny </w:t>
      </w:r>
      <w:r w:rsidR="006F41C7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przedmiotu inwestycji oraz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miejsca realizacji przedsięwzięcia.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5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spłaca pożyczkę w ratach miesięcznych zgodnie z harmonogramem.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szczególnych sytuacjach Pożyczkodawca, na wniosek Pożyczkobiorcy, może ustalić indywidualny harmonogram spłat. </w:t>
      </w:r>
    </w:p>
    <w:p w:rsidR="007B3D40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może dokonywać spłat przed terminem ich płatności. 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Od zadłużenia przeterminowanego, powstałego w wyniku niespłacenia całości lub części pożyczki w terminach ustalonych w umowie inwestycyjnej, odsetki są naliczane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wysokoś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ci odsetek ustawowych za opóźnienie.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przypadku niezgodnego z umową wykorzystania środków pożyczki Ostateczny Odbiorca, zobowiązany jest do zwrotu kwoty wydatkowanej nieprawidłowo wraz z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rynkowymi odsetkami</w:t>
      </w:r>
      <w:r w:rsidR="00EC7DF1" w:rsidRPr="008C0E9D">
        <w:rPr>
          <w:rStyle w:val="Odwoanieprzypisudolnego"/>
          <w:rFonts w:asciiTheme="minorHAnsi" w:eastAsia="Times New Roman" w:hAnsiTheme="minorHAnsi" w:cstheme="minorHAnsi"/>
          <w:color w:val="000000"/>
          <w:kern w:val="0"/>
          <w:lang w:eastAsia="ar-SA" w:bidi="ar-SA"/>
        </w:rPr>
        <w:footnoteReference w:id="2"/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 odpowiedni okres</w:t>
      </w:r>
      <w:r w:rsidR="00EC7DF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 naliczanych od daty wypłaty środków pożyczkowych do chwili ich zwrotu.</w:t>
      </w:r>
    </w:p>
    <w:p w:rsidR="009964B8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Roszczenia Pożyczkodawcy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 tytułu niespłaconej pożyczki i odsetek pokrywane są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6</w:t>
      </w:r>
    </w:p>
    <w:p w:rsidR="009826FE" w:rsidRPr="008C0E9D" w:rsidRDefault="009826FE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szczególności Pożyczkobiorca jest zobowiązany do: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realizowania Umowy Inwestycyjnej z należytą starannością z uwzględnieniem profesjonalnego charakteru jego działalności oraz nieangażowania się w działania sprzeczne z zasadami Unii Europejskiej;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zapewnienia, że Inwestycja nie obejmuje żadnych działań sprzecznych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regulacjami unijnymi oraz krajowymi;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przedstawiania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 lub Instytucji Zarządzającej</w:t>
      </w:r>
      <w:r w:rsidR="003508F9" w:rsidRPr="008C0E9D">
        <w:rPr>
          <w:rFonts w:asciiTheme="minorHAnsi" w:hAnsiTheme="minorHAnsi" w:cstheme="minorHAnsi"/>
          <w:spacing w:val="-2"/>
        </w:rPr>
        <w:t xml:space="preserve"> (Województwo Małopolskie)</w:t>
      </w:r>
      <w:r w:rsidRPr="008C0E9D">
        <w:rPr>
          <w:rFonts w:asciiTheme="minorHAnsi" w:hAnsiTheme="minorHAnsi" w:cstheme="minorHAnsi"/>
          <w:spacing w:val="-2"/>
        </w:rPr>
        <w:t xml:space="preserve"> wszelkich informacji lub dokumentów dotyczących otrzymanego wsparcia na potrzeby monitorowania realizacji Projektu i jego ewaluacji;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prowadzenia odpowiedniej dokumentacji i ewidencji księgowej związanej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Inwestycją;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respektowania </w:t>
      </w:r>
      <w:r w:rsidR="009826FE" w:rsidRPr="008C0E9D">
        <w:rPr>
          <w:rFonts w:asciiTheme="minorHAnsi" w:hAnsiTheme="minorHAnsi" w:cstheme="minorHAnsi"/>
          <w:spacing w:val="-2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, Instytucję Zarządzającą lub inny podmiot wskazany przez Instytucję Zarządzającą;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przestrzegania </w:t>
      </w:r>
      <w:r w:rsidR="009826FE" w:rsidRPr="008C0E9D">
        <w:rPr>
          <w:rFonts w:asciiTheme="minorHAnsi" w:hAnsiTheme="minorHAnsi" w:cstheme="minorHAnsi"/>
          <w:spacing w:val="-2"/>
        </w:rPr>
        <w:t xml:space="preserve">uprawnień przyznanych Pośrednikowi Finansowemu do dochodzenia roszczeń, przysługujących zarówno Pośrednikowi Finansowemu jak i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</w:rPr>
        <w:t xml:space="preserve">poddania się wszelkiego rodzaju kontroli </w:t>
      </w:r>
      <w:r w:rsidRPr="008C0E9D">
        <w:rPr>
          <w:rFonts w:asciiTheme="minorHAnsi" w:hAnsiTheme="minorHAnsi" w:cstheme="minorHAnsi"/>
          <w:spacing w:val="-2"/>
        </w:rPr>
        <w:t xml:space="preserve">Komisji Europejskiej, Europejskiego Trybunału Obrachunkowego, Instytucji Zarządzającej,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Pośrednika Finansowego lub innych </w:t>
      </w:r>
      <w:r w:rsidRPr="008C0E9D">
        <w:rPr>
          <w:rFonts w:asciiTheme="minorHAnsi" w:hAnsiTheme="minorHAnsi" w:cstheme="minorHAnsi"/>
          <w:spacing w:val="-2"/>
        </w:rPr>
        <w:lastRenderedPageBreak/>
        <w:t>uprawnionych podmiotów, na zasadach określonych w Załączniku nr 6 do Umowy</w:t>
      </w:r>
      <w:r w:rsidR="003508F9" w:rsidRPr="008C0E9D">
        <w:rPr>
          <w:rFonts w:asciiTheme="minorHAnsi" w:hAnsiTheme="minorHAnsi" w:cstheme="minorHAnsi"/>
          <w:spacing w:val="-2"/>
        </w:rPr>
        <w:t xml:space="preserve"> operacyjnej</w:t>
      </w:r>
      <w:r w:rsidRPr="008C0E9D">
        <w:rPr>
          <w:rFonts w:asciiTheme="minorHAnsi" w:hAnsiTheme="minorHAnsi" w:cstheme="minorHAnsi"/>
          <w:spacing w:val="-2"/>
        </w:rPr>
        <w:t>, mogących mieć zastosowanie do Ostatecznego Odbiorcy;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przechowywania na powszechnie uznawanych nośnikach danych odpowiedniej dokumentacji</w:t>
      </w:r>
      <w:r w:rsidR="00381B62" w:rsidRPr="008C0E9D">
        <w:rPr>
          <w:rFonts w:asciiTheme="minorHAnsi" w:hAnsiTheme="minorHAnsi" w:cstheme="minorHAnsi"/>
          <w:spacing w:val="-2"/>
        </w:rPr>
        <w:t xml:space="preserve"> związanych z udzieloną pożyczką,</w:t>
      </w:r>
      <w:r w:rsidRPr="008C0E9D">
        <w:rPr>
          <w:rFonts w:asciiTheme="minorHAnsi" w:hAnsiTheme="minorHAnsi" w:cstheme="minorHAnsi"/>
          <w:spacing w:val="-2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C0E9D">
        <w:rPr>
          <w:rFonts w:asciiTheme="minorHAnsi" w:hAnsiTheme="minorHAnsi" w:cstheme="minorHAnsi"/>
          <w:spacing w:val="-2"/>
        </w:rPr>
        <w:t>o tym Ostatecznego Odbiorcy</w:t>
      </w:r>
      <w:r w:rsidR="00843004">
        <w:rPr>
          <w:rFonts w:asciiTheme="minorHAnsi" w:hAnsiTheme="minorHAnsi" w:cstheme="minorHAnsi"/>
          <w:spacing w:val="-2"/>
        </w:rPr>
        <w:t xml:space="preserve"> </w:t>
      </w:r>
      <w:r w:rsidR="00ED5ABE">
        <w:rPr>
          <w:rFonts w:asciiTheme="minorHAnsi" w:hAnsiTheme="minorHAnsi" w:cstheme="minorHAnsi"/>
          <w:spacing w:val="-2"/>
        </w:rPr>
        <w:t>przez pożyczkodawcę</w:t>
      </w:r>
      <w:r w:rsidRPr="008C0E9D">
        <w:rPr>
          <w:rFonts w:asciiTheme="minorHAnsi" w:hAnsiTheme="minorHAnsi" w:cstheme="minorHAnsi"/>
          <w:spacing w:val="-2"/>
        </w:rPr>
        <w:t>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udostępniania, zgodnie z przepisami prawa,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zwrotu w całości kwoty wypłaconej z tytułu Jednostkowej Pożyczki zgodnie z</w:t>
      </w:r>
      <w:r w:rsidR="00490D81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Umową Inwestycyjną wraz z odsetkami oraz innymi zobowiązaniami wobec Pośrednika Finansowego wynikającymi z Umowy Inwestycyjnej;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respektowania w</w:t>
      </w:r>
      <w:r w:rsidR="009826FE" w:rsidRPr="008C0E9D">
        <w:rPr>
          <w:rFonts w:asciiTheme="minorHAnsi" w:hAnsiTheme="minorHAnsi" w:cstheme="minorHAnsi"/>
          <w:spacing w:val="-2"/>
        </w:rPr>
        <w:t xml:space="preserve">ytycznych przekazanych przez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.</w:t>
      </w:r>
    </w:p>
    <w:p w:rsidR="00EC7DF1" w:rsidRPr="008C0E9D" w:rsidRDefault="00490D81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(oraz zwrotne przepisani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) przez Pośrednika Finansowego na rzecz BGK (lub na rzecz wskazanego przez BGK następcy Pośrednika Finansowego), wszystkich praw i obowiązków Pośrednika Finansowego wynikających z wszelkich umów lub dokumentów ustanawiających zabezpieczenie, 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dokonane będzie 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 chyba że BGK wskaże takie warunki.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7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W przypadku zaistnienia przesłanek wypowiedzenia </w:t>
      </w:r>
      <w:r w:rsidRPr="008C0E9D">
        <w:rPr>
          <w:rFonts w:asciiTheme="minorHAnsi" w:eastAsia="Times New Roman" w:hAnsiTheme="minorHAnsi" w:cstheme="minorHAnsi"/>
          <w:bCs/>
          <w:kern w:val="0"/>
          <w:lang w:eastAsia="ar-SA" w:bidi="ar-SA"/>
        </w:rPr>
        <w:t>pożyczki Administrator sporządza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odpowiednią informację dla organu wykonawczego właściwego </w:t>
      </w:r>
      <w:r w:rsidR="00A14B58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Pożyczkodawcy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Wypowiedzenie Umowy następuje tylko z ważnych powodów, określonych w Umowie</w:t>
      </w:r>
      <w:r w:rsidR="00490D8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8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Zaspokajanie roszczeń Pożyczkodawcy następuje w trybie i na warunkach U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mowy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 wykorzystaniem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ustanowionych zabezpieczeń.</w:t>
      </w:r>
    </w:p>
    <w:p w:rsidR="009D2A0E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29</w:t>
      </w:r>
    </w:p>
    <w:p w:rsidR="009D2A0E" w:rsidRPr="008C0E9D" w:rsidRDefault="009D2A0E" w:rsidP="008C0E9D">
      <w:pPr>
        <w:spacing w:before="120" w:line="240" w:lineRule="auto"/>
        <w:ind w:hanging="714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Zmiana </w:t>
      </w:r>
      <w:r w:rsidR="009106A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egulaminu następuje w trybie właściwym do jego uchwalenia.</w:t>
      </w:r>
    </w:p>
    <w:p w:rsidR="008301C5" w:rsidRPr="008C0E9D" w:rsidRDefault="008301C5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Załączniki:</w:t>
      </w:r>
    </w:p>
    <w:p w:rsidR="008301C5" w:rsidRPr="008C0E9D" w:rsidRDefault="008301C5" w:rsidP="008C0E9D">
      <w:pPr>
        <w:spacing w:before="12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Umowa Operacyjna (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wyciąg z istotnych postanowień  </w:t>
      </w:r>
      <w:r w:rsidR="005440E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).</w:t>
      </w:r>
    </w:p>
    <w:p w:rsidR="00540AA0" w:rsidRPr="008C0E9D" w:rsidRDefault="00540AA0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Wzór oświadczenia o bezstronności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Wykaz obszarów o niskim poziomie aktywności gospodarczej w województwie małopolskim</w:t>
      </w:r>
      <w:r w:rsidR="001564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right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0" w:firstLine="0"/>
        <w:rPr>
          <w:rFonts w:asciiTheme="minorHAnsi" w:hAnsiTheme="minorHAnsi" w:cstheme="minorHAnsi"/>
        </w:rPr>
      </w:pPr>
    </w:p>
    <w:sectPr w:rsidR="00B8365B" w:rsidRPr="008C0E9D" w:rsidSect="00EB40D1">
      <w:headerReference w:type="default" r:id="rId9"/>
      <w:footerReference w:type="default" r:id="rId10"/>
      <w:pgSz w:w="11906" w:h="16838"/>
      <w:pgMar w:top="1418" w:right="1418" w:bottom="1843" w:left="1418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8B" w:rsidRDefault="00EB2E8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EB2E8B" w:rsidRDefault="00EB2E8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1" w:rsidRDefault="00EB40D1" w:rsidP="00EB40D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839" w:rsidRPr="00EB40D1" w:rsidRDefault="00EE5839" w:rsidP="00EB40D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8B" w:rsidRDefault="00EB2E8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EB2E8B" w:rsidRDefault="00EB2E8B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A0251D" w:rsidRPr="008C0E9D" w:rsidRDefault="00A0251D" w:rsidP="002C26B5">
      <w:pPr>
        <w:pStyle w:val="Poziom2"/>
        <w:numPr>
          <w:ilvl w:val="0"/>
          <w:numId w:val="51"/>
        </w:numPr>
        <w:tabs>
          <w:tab w:val="clear" w:pos="1134"/>
        </w:tabs>
        <w:ind w:left="284" w:hanging="284"/>
        <w:rPr>
          <w:rFonts w:asciiTheme="minorHAnsi" w:hAnsiTheme="minorHAnsi" w:cs="Arial"/>
          <w:sz w:val="16"/>
          <w:szCs w:val="16"/>
        </w:rPr>
      </w:pPr>
      <w:r w:rsidRPr="008C0E9D">
        <w:rPr>
          <w:rStyle w:val="Odwoanieprzypisudolnego"/>
          <w:sz w:val="16"/>
          <w:szCs w:val="16"/>
        </w:rPr>
        <w:footnoteRef/>
      </w:r>
      <w:r w:rsidRPr="008C0E9D">
        <w:rPr>
          <w:rFonts w:asciiTheme="minorHAnsi" w:hAnsiTheme="minorHAnsi" w:cs="Arial"/>
          <w:b/>
          <w:sz w:val="16"/>
          <w:szCs w:val="16"/>
        </w:rPr>
        <w:t xml:space="preserve">Regionalne Inteligentne Specjalizacje </w:t>
      </w:r>
      <w:r w:rsidRPr="008C0E9D">
        <w:rPr>
          <w:rFonts w:asciiTheme="minorHAnsi" w:hAnsiTheme="minorHAnsi" w:cs="Arial"/>
          <w:sz w:val="16"/>
          <w:szCs w:val="16"/>
        </w:rPr>
        <w:t>– szczegółowy opis obszarów małopolskich inteligentnych specja</w:t>
      </w:r>
      <w:r w:rsidR="002C26B5">
        <w:rPr>
          <w:rFonts w:asciiTheme="minorHAnsi" w:hAnsiTheme="minorHAnsi" w:cs="Arial"/>
          <w:sz w:val="16"/>
          <w:szCs w:val="16"/>
        </w:rPr>
        <w:t>lizacji, został przedstawiony w </w:t>
      </w:r>
      <w:r w:rsidRPr="008C0E9D">
        <w:rPr>
          <w:rFonts w:asciiTheme="minorHAnsi" w:hAnsiTheme="minorHAnsi" w:cs="Arial"/>
          <w:sz w:val="16"/>
          <w:szCs w:val="16"/>
        </w:rPr>
        <w:t>zarysie w Regionalnej Strategii Innowacji Województwa Małopolskiego 2014-2020, zawarty w</w:t>
      </w:r>
      <w:r w:rsidRPr="008C0E9D">
        <w:rPr>
          <w:sz w:val="16"/>
          <w:szCs w:val="16"/>
        </w:rPr>
        <w:t xml:space="preserve"> </w:t>
      </w:r>
      <w:r w:rsidRPr="008C0E9D">
        <w:rPr>
          <w:rFonts w:asciiTheme="minorHAnsi" w:hAnsiTheme="minorHAnsi" w:cs="Arial"/>
          <w:sz w:val="16"/>
          <w:szCs w:val="16"/>
        </w:rPr>
        <w:t>Załączniku nr 1 do Uchwały nr 1262/15 Zarządu Województwa Małopolskiego z dnia 22 września 2015 r.;</w:t>
      </w:r>
    </w:p>
    <w:p w:rsidR="00A0251D" w:rsidRDefault="00A0251D">
      <w:pPr>
        <w:pStyle w:val="Tekstprzypisudolnego"/>
        <w:rPr>
          <w:rFonts w:hint="eastAsia"/>
        </w:rPr>
      </w:pPr>
    </w:p>
  </w:footnote>
  <w:footnote w:id="2">
    <w:p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8C0E9D">
        <w:rPr>
          <w:rFonts w:asciiTheme="minorHAnsi" w:hAnsiTheme="minorHAnsi" w:cstheme="minorHAnsi"/>
          <w:sz w:val="16"/>
          <w:szCs w:val="16"/>
        </w:rPr>
        <w:t>st</w:t>
      </w:r>
      <w:proofErr w:type="spellEnd"/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proofErr w:type="spellEnd"/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9" w:rsidRPr="00EB40D1" w:rsidRDefault="00EB40D1" w:rsidP="00EB40D1">
    <w:pPr>
      <w:pStyle w:val="Nagwek"/>
      <w:ind w:left="357"/>
    </w:pPr>
    <w:r>
      <w:rPr>
        <w:noProof/>
        <w:lang w:eastAsia="pl-PL" w:bidi="ar-SA"/>
      </w:rPr>
      <w:drawing>
        <wp:inline distT="0" distB="0" distL="0" distR="0" wp14:anchorId="7467C209" wp14:editId="4B8BD9D7">
          <wp:extent cx="5759450" cy="430860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>
    <w:nsid w:val="00000005"/>
    <w:multiLevelType w:val="singleLevel"/>
    <w:tmpl w:val="12246D62"/>
    <w:lvl w:ilvl="0">
      <w:start w:val="1"/>
      <w:numFmt w:val="decimal"/>
      <w:lvlText w:val="%1)"/>
      <w:lvlJc w:val="left"/>
      <w:pPr>
        <w:ind w:left="870" w:hanging="360"/>
      </w:pPr>
      <w:rPr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6">
    <w:nsid w:val="00000008"/>
    <w:multiLevelType w:val="singleLevel"/>
    <w:tmpl w:val="A93842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99721F7A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9">
    <w:nsid w:val="0000000D"/>
    <w:multiLevelType w:val="singleLevel"/>
    <w:tmpl w:val="0E02A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077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1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4">
    <w:nsid w:val="00000013"/>
    <w:multiLevelType w:val="singleLevel"/>
    <w:tmpl w:val="E1AC00E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F24155"/>
    <w:multiLevelType w:val="hybridMultilevel"/>
    <w:tmpl w:val="56E64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8845F7"/>
    <w:multiLevelType w:val="hybridMultilevel"/>
    <w:tmpl w:val="E31677B4"/>
    <w:lvl w:ilvl="0" w:tplc="A824D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65517F"/>
    <w:multiLevelType w:val="hybridMultilevel"/>
    <w:tmpl w:val="7ECCFA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30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57157"/>
    <w:multiLevelType w:val="hybridMultilevel"/>
    <w:tmpl w:val="7C924CB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3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85C022C"/>
    <w:multiLevelType w:val="hybridMultilevel"/>
    <w:tmpl w:val="25CEC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B3E207E"/>
    <w:multiLevelType w:val="multilevel"/>
    <w:tmpl w:val="746E3D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6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8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38154A74"/>
    <w:multiLevelType w:val="hybridMultilevel"/>
    <w:tmpl w:val="2EEA0C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F07413"/>
    <w:multiLevelType w:val="hybridMultilevel"/>
    <w:tmpl w:val="95B817D8"/>
    <w:lvl w:ilvl="0" w:tplc="0415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42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01767"/>
    <w:multiLevelType w:val="multilevel"/>
    <w:tmpl w:val="0DCA43E6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6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7">
    <w:nsid w:val="40BD4305"/>
    <w:multiLevelType w:val="multilevel"/>
    <w:tmpl w:val="D474FDD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>
    <w:nsid w:val="4878583D"/>
    <w:multiLevelType w:val="hybridMultilevel"/>
    <w:tmpl w:val="B1ACA4C0"/>
    <w:lvl w:ilvl="0" w:tplc="D66EC730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D4D6A"/>
    <w:multiLevelType w:val="hybridMultilevel"/>
    <w:tmpl w:val="4D98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A6AB3"/>
    <w:multiLevelType w:val="multilevel"/>
    <w:tmpl w:val="4D4A91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3">
    <w:nsid w:val="59281A06"/>
    <w:multiLevelType w:val="hybridMultilevel"/>
    <w:tmpl w:val="D498806E"/>
    <w:lvl w:ilvl="0" w:tplc="77F2D9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6627B1A"/>
    <w:multiLevelType w:val="hybridMultilevel"/>
    <w:tmpl w:val="B1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8C751E"/>
    <w:multiLevelType w:val="hybridMultilevel"/>
    <w:tmpl w:val="B1546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FD26CF"/>
    <w:multiLevelType w:val="hybridMultilevel"/>
    <w:tmpl w:val="24A89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7380103"/>
    <w:multiLevelType w:val="hybridMultilevel"/>
    <w:tmpl w:val="0A0833B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3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32"/>
  </w:num>
  <w:num w:numId="23">
    <w:abstractNumId w:val="41"/>
  </w:num>
  <w:num w:numId="24">
    <w:abstractNumId w:val="53"/>
  </w:num>
  <w:num w:numId="25">
    <w:abstractNumId w:val="21"/>
  </w:num>
  <w:num w:numId="26">
    <w:abstractNumId w:val="54"/>
  </w:num>
  <w:num w:numId="27">
    <w:abstractNumId w:val="52"/>
  </w:num>
  <w:num w:numId="28">
    <w:abstractNumId w:val="25"/>
  </w:num>
  <w:num w:numId="29">
    <w:abstractNumId w:val="30"/>
  </w:num>
  <w:num w:numId="30">
    <w:abstractNumId w:val="48"/>
  </w:num>
  <w:num w:numId="31">
    <w:abstractNumId w:val="56"/>
  </w:num>
  <w:num w:numId="32">
    <w:abstractNumId w:val="61"/>
  </w:num>
  <w:num w:numId="33">
    <w:abstractNumId w:val="28"/>
  </w:num>
  <w:num w:numId="34">
    <w:abstractNumId w:val="43"/>
  </w:num>
  <w:num w:numId="35">
    <w:abstractNumId w:val="23"/>
  </w:num>
  <w:num w:numId="36">
    <w:abstractNumId w:val="57"/>
  </w:num>
  <w:num w:numId="37">
    <w:abstractNumId w:val="40"/>
  </w:num>
  <w:num w:numId="38">
    <w:abstractNumId w:val="27"/>
  </w:num>
  <w:num w:numId="39">
    <w:abstractNumId w:val="60"/>
  </w:num>
  <w:num w:numId="40">
    <w:abstractNumId w:val="34"/>
  </w:num>
  <w:num w:numId="41">
    <w:abstractNumId w:val="31"/>
  </w:num>
  <w:num w:numId="42">
    <w:abstractNumId w:val="22"/>
  </w:num>
  <w:num w:numId="43">
    <w:abstractNumId w:val="20"/>
  </w:num>
  <w:num w:numId="44">
    <w:abstractNumId w:val="38"/>
  </w:num>
  <w:num w:numId="45">
    <w:abstractNumId w:val="62"/>
  </w:num>
  <w:num w:numId="46">
    <w:abstractNumId w:val="49"/>
  </w:num>
  <w:num w:numId="47">
    <w:abstractNumId w:val="51"/>
  </w:num>
  <w:num w:numId="48">
    <w:abstractNumId w:val="64"/>
  </w:num>
  <w:num w:numId="49">
    <w:abstractNumId w:val="55"/>
  </w:num>
  <w:num w:numId="50">
    <w:abstractNumId w:val="58"/>
  </w:num>
  <w:num w:numId="51">
    <w:abstractNumId w:val="36"/>
  </w:num>
  <w:num w:numId="52">
    <w:abstractNumId w:val="47"/>
  </w:num>
  <w:num w:numId="53">
    <w:abstractNumId w:val="35"/>
  </w:num>
  <w:num w:numId="54">
    <w:abstractNumId w:val="46"/>
  </w:num>
  <w:num w:numId="55">
    <w:abstractNumId w:val="63"/>
  </w:num>
  <w:num w:numId="56">
    <w:abstractNumId w:val="44"/>
  </w:num>
  <w:num w:numId="57">
    <w:abstractNumId w:val="59"/>
  </w:num>
  <w:num w:numId="58">
    <w:abstractNumId w:val="42"/>
  </w:num>
  <w:num w:numId="59">
    <w:abstractNumId w:val="45"/>
  </w:num>
  <w:num w:numId="60">
    <w:abstractNumId w:val="37"/>
  </w:num>
  <w:num w:numId="61">
    <w:abstractNumId w:val="39"/>
  </w:num>
  <w:num w:numId="62">
    <w:abstractNumId w:val="33"/>
  </w:num>
  <w:num w:numId="63">
    <w:abstractNumId w:val="29"/>
  </w:num>
  <w:num w:numId="64">
    <w:abstractNumId w:val="50"/>
  </w:num>
  <w:num w:numId="65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B"/>
    <w:rsid w:val="00002478"/>
    <w:rsid w:val="000279F4"/>
    <w:rsid w:val="000306C2"/>
    <w:rsid w:val="00035DC0"/>
    <w:rsid w:val="00036CEB"/>
    <w:rsid w:val="00037382"/>
    <w:rsid w:val="000425CF"/>
    <w:rsid w:val="00056D64"/>
    <w:rsid w:val="00080596"/>
    <w:rsid w:val="00086F91"/>
    <w:rsid w:val="000A2406"/>
    <w:rsid w:val="000B2187"/>
    <w:rsid w:val="000B36FC"/>
    <w:rsid w:val="000C6ABF"/>
    <w:rsid w:val="000D5371"/>
    <w:rsid w:val="00105F3C"/>
    <w:rsid w:val="001243FC"/>
    <w:rsid w:val="0014749B"/>
    <w:rsid w:val="001564E5"/>
    <w:rsid w:val="0015717C"/>
    <w:rsid w:val="00172BA0"/>
    <w:rsid w:val="001766E5"/>
    <w:rsid w:val="0018146B"/>
    <w:rsid w:val="00183111"/>
    <w:rsid w:val="001B2BF9"/>
    <w:rsid w:val="001D547D"/>
    <w:rsid w:val="001E41FA"/>
    <w:rsid w:val="00220B9F"/>
    <w:rsid w:val="00233DE5"/>
    <w:rsid w:val="00235805"/>
    <w:rsid w:val="00264C59"/>
    <w:rsid w:val="002668F3"/>
    <w:rsid w:val="0027297D"/>
    <w:rsid w:val="00290E55"/>
    <w:rsid w:val="002B0BB9"/>
    <w:rsid w:val="002B1E4C"/>
    <w:rsid w:val="002B4BD2"/>
    <w:rsid w:val="002B6F33"/>
    <w:rsid w:val="002C26B5"/>
    <w:rsid w:val="002C5A93"/>
    <w:rsid w:val="002E15D0"/>
    <w:rsid w:val="002E2E2D"/>
    <w:rsid w:val="002E4BD1"/>
    <w:rsid w:val="002F1C94"/>
    <w:rsid w:val="002F7B7E"/>
    <w:rsid w:val="003137EA"/>
    <w:rsid w:val="00333786"/>
    <w:rsid w:val="00340815"/>
    <w:rsid w:val="003410C3"/>
    <w:rsid w:val="00347DD7"/>
    <w:rsid w:val="003508F9"/>
    <w:rsid w:val="003516C7"/>
    <w:rsid w:val="00362812"/>
    <w:rsid w:val="00381B62"/>
    <w:rsid w:val="003A0D5C"/>
    <w:rsid w:val="003C2678"/>
    <w:rsid w:val="003C65CD"/>
    <w:rsid w:val="003D38D3"/>
    <w:rsid w:val="003F019C"/>
    <w:rsid w:val="003F49E7"/>
    <w:rsid w:val="003F5591"/>
    <w:rsid w:val="003F737E"/>
    <w:rsid w:val="00401C13"/>
    <w:rsid w:val="00410C11"/>
    <w:rsid w:val="00413100"/>
    <w:rsid w:val="00427E08"/>
    <w:rsid w:val="00434AB1"/>
    <w:rsid w:val="00457885"/>
    <w:rsid w:val="00461209"/>
    <w:rsid w:val="00470ED8"/>
    <w:rsid w:val="00490006"/>
    <w:rsid w:val="004907D5"/>
    <w:rsid w:val="00490D81"/>
    <w:rsid w:val="004D168F"/>
    <w:rsid w:val="004E32B3"/>
    <w:rsid w:val="004E5368"/>
    <w:rsid w:val="004E56B1"/>
    <w:rsid w:val="005032AD"/>
    <w:rsid w:val="005179DA"/>
    <w:rsid w:val="0052696F"/>
    <w:rsid w:val="005301E3"/>
    <w:rsid w:val="0053056C"/>
    <w:rsid w:val="0053259C"/>
    <w:rsid w:val="00534383"/>
    <w:rsid w:val="00540AA0"/>
    <w:rsid w:val="005440E0"/>
    <w:rsid w:val="0054477F"/>
    <w:rsid w:val="00547009"/>
    <w:rsid w:val="00561F55"/>
    <w:rsid w:val="00570A2C"/>
    <w:rsid w:val="00583618"/>
    <w:rsid w:val="005944EA"/>
    <w:rsid w:val="005A4B7C"/>
    <w:rsid w:val="005D0239"/>
    <w:rsid w:val="005D3246"/>
    <w:rsid w:val="005D64D7"/>
    <w:rsid w:val="005E5E47"/>
    <w:rsid w:val="006170B0"/>
    <w:rsid w:val="00625687"/>
    <w:rsid w:val="00650808"/>
    <w:rsid w:val="00676E39"/>
    <w:rsid w:val="00695DB9"/>
    <w:rsid w:val="006B5AE5"/>
    <w:rsid w:val="006C36FC"/>
    <w:rsid w:val="006C5BB3"/>
    <w:rsid w:val="006C7FED"/>
    <w:rsid w:val="006D4AED"/>
    <w:rsid w:val="006E6408"/>
    <w:rsid w:val="006F41C7"/>
    <w:rsid w:val="006F5D98"/>
    <w:rsid w:val="006F6977"/>
    <w:rsid w:val="0070041A"/>
    <w:rsid w:val="00714846"/>
    <w:rsid w:val="00735076"/>
    <w:rsid w:val="00736AB1"/>
    <w:rsid w:val="00741403"/>
    <w:rsid w:val="007476FA"/>
    <w:rsid w:val="007570BD"/>
    <w:rsid w:val="00760606"/>
    <w:rsid w:val="007657F4"/>
    <w:rsid w:val="00772367"/>
    <w:rsid w:val="00785432"/>
    <w:rsid w:val="007918FF"/>
    <w:rsid w:val="00793B64"/>
    <w:rsid w:val="007A0B0C"/>
    <w:rsid w:val="007A4CF1"/>
    <w:rsid w:val="007A4EA0"/>
    <w:rsid w:val="007B3D40"/>
    <w:rsid w:val="007C16CC"/>
    <w:rsid w:val="007C468E"/>
    <w:rsid w:val="007D291B"/>
    <w:rsid w:val="007D3C89"/>
    <w:rsid w:val="007D4D1F"/>
    <w:rsid w:val="007E5505"/>
    <w:rsid w:val="008110A3"/>
    <w:rsid w:val="00820771"/>
    <w:rsid w:val="008263A7"/>
    <w:rsid w:val="008301C5"/>
    <w:rsid w:val="00831155"/>
    <w:rsid w:val="00836BCB"/>
    <w:rsid w:val="00843004"/>
    <w:rsid w:val="0085530C"/>
    <w:rsid w:val="00865B88"/>
    <w:rsid w:val="00890C98"/>
    <w:rsid w:val="00890F51"/>
    <w:rsid w:val="008C0E9D"/>
    <w:rsid w:val="008C5442"/>
    <w:rsid w:val="008C66B0"/>
    <w:rsid w:val="008D6F10"/>
    <w:rsid w:val="008F084A"/>
    <w:rsid w:val="009106AF"/>
    <w:rsid w:val="009113A3"/>
    <w:rsid w:val="009135E4"/>
    <w:rsid w:val="00916EBF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64B8"/>
    <w:rsid w:val="009B18F6"/>
    <w:rsid w:val="009D2A0E"/>
    <w:rsid w:val="009D566B"/>
    <w:rsid w:val="009E5B01"/>
    <w:rsid w:val="009F0614"/>
    <w:rsid w:val="009F20C3"/>
    <w:rsid w:val="00A0251D"/>
    <w:rsid w:val="00A071AC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91EA7"/>
    <w:rsid w:val="00A95A2F"/>
    <w:rsid w:val="00AA38AD"/>
    <w:rsid w:val="00AA558D"/>
    <w:rsid w:val="00AB638F"/>
    <w:rsid w:val="00AC40A4"/>
    <w:rsid w:val="00AE5CEA"/>
    <w:rsid w:val="00B11324"/>
    <w:rsid w:val="00B31345"/>
    <w:rsid w:val="00B35E10"/>
    <w:rsid w:val="00B44331"/>
    <w:rsid w:val="00B4533B"/>
    <w:rsid w:val="00B456C9"/>
    <w:rsid w:val="00B47C23"/>
    <w:rsid w:val="00B5031E"/>
    <w:rsid w:val="00B75042"/>
    <w:rsid w:val="00B75A14"/>
    <w:rsid w:val="00B76616"/>
    <w:rsid w:val="00B81B76"/>
    <w:rsid w:val="00B8365B"/>
    <w:rsid w:val="00BA4414"/>
    <w:rsid w:val="00BC05B5"/>
    <w:rsid w:val="00BC2458"/>
    <w:rsid w:val="00BC4FD8"/>
    <w:rsid w:val="00BE1CC3"/>
    <w:rsid w:val="00BF28C7"/>
    <w:rsid w:val="00BF383F"/>
    <w:rsid w:val="00BF7169"/>
    <w:rsid w:val="00C06798"/>
    <w:rsid w:val="00C11D85"/>
    <w:rsid w:val="00C264B6"/>
    <w:rsid w:val="00C46BAC"/>
    <w:rsid w:val="00C57535"/>
    <w:rsid w:val="00C63F7D"/>
    <w:rsid w:val="00C775C5"/>
    <w:rsid w:val="00C81B92"/>
    <w:rsid w:val="00C860E9"/>
    <w:rsid w:val="00C86408"/>
    <w:rsid w:val="00CA014A"/>
    <w:rsid w:val="00CD658D"/>
    <w:rsid w:val="00CD6D74"/>
    <w:rsid w:val="00CE3BBF"/>
    <w:rsid w:val="00CE52DC"/>
    <w:rsid w:val="00CF5F7A"/>
    <w:rsid w:val="00D02C3D"/>
    <w:rsid w:val="00D07A24"/>
    <w:rsid w:val="00D30ECA"/>
    <w:rsid w:val="00D329FC"/>
    <w:rsid w:val="00D4081C"/>
    <w:rsid w:val="00D44064"/>
    <w:rsid w:val="00D5554F"/>
    <w:rsid w:val="00D56DC9"/>
    <w:rsid w:val="00D574BA"/>
    <w:rsid w:val="00D80616"/>
    <w:rsid w:val="00DB00CB"/>
    <w:rsid w:val="00DB68E5"/>
    <w:rsid w:val="00DD2102"/>
    <w:rsid w:val="00DE76DD"/>
    <w:rsid w:val="00DF0AB4"/>
    <w:rsid w:val="00DF196B"/>
    <w:rsid w:val="00DF58E1"/>
    <w:rsid w:val="00DF797A"/>
    <w:rsid w:val="00E05056"/>
    <w:rsid w:val="00E14B85"/>
    <w:rsid w:val="00E20755"/>
    <w:rsid w:val="00E2413A"/>
    <w:rsid w:val="00E34386"/>
    <w:rsid w:val="00E35E81"/>
    <w:rsid w:val="00E4458B"/>
    <w:rsid w:val="00E452AC"/>
    <w:rsid w:val="00E50BC3"/>
    <w:rsid w:val="00E604BA"/>
    <w:rsid w:val="00E62E10"/>
    <w:rsid w:val="00E63FA8"/>
    <w:rsid w:val="00E83038"/>
    <w:rsid w:val="00E926DB"/>
    <w:rsid w:val="00EB2E8B"/>
    <w:rsid w:val="00EB40D1"/>
    <w:rsid w:val="00EC0A63"/>
    <w:rsid w:val="00EC38F3"/>
    <w:rsid w:val="00EC7DF1"/>
    <w:rsid w:val="00ED3129"/>
    <w:rsid w:val="00ED5ABE"/>
    <w:rsid w:val="00EE5839"/>
    <w:rsid w:val="00F02584"/>
    <w:rsid w:val="00F0625C"/>
    <w:rsid w:val="00F2441B"/>
    <w:rsid w:val="00F34C85"/>
    <w:rsid w:val="00F35D2C"/>
    <w:rsid w:val="00F55D2B"/>
    <w:rsid w:val="00F608AF"/>
    <w:rsid w:val="00F8211A"/>
    <w:rsid w:val="00F8426E"/>
    <w:rsid w:val="00FA0E09"/>
    <w:rsid w:val="00FB3A37"/>
    <w:rsid w:val="00FB6CC4"/>
    <w:rsid w:val="00FC4F06"/>
    <w:rsid w:val="00FE23BB"/>
    <w:rsid w:val="00FE3F9D"/>
    <w:rsid w:val="00FE4443"/>
    <w:rsid w:val="00FE5BA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link w:val="Stopka"/>
    <w:uiPriority w:val="99"/>
    <w:rsid w:val="00EB40D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link w:val="Stopka"/>
    <w:uiPriority w:val="99"/>
    <w:rsid w:val="00EB40D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915C-E1E7-4299-99B0-122169E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4</TotalTime>
  <Pages>14</Pages>
  <Words>4230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Renata Fedorow</cp:lastModifiedBy>
  <cp:revision>4</cp:revision>
  <cp:lastPrinted>2018-10-29T07:23:00Z</cp:lastPrinted>
  <dcterms:created xsi:type="dcterms:W3CDTF">2018-10-30T07:22:00Z</dcterms:created>
  <dcterms:modified xsi:type="dcterms:W3CDTF">2018-11-22T09:05:00Z</dcterms:modified>
</cp:coreProperties>
</file>