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64" w:rsidRPr="00D62D00" w:rsidRDefault="00793764" w:rsidP="00B11A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766B" w:rsidRPr="00D62D00" w:rsidRDefault="0035766B" w:rsidP="00B11A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2D00">
        <w:rPr>
          <w:rFonts w:ascii="Arial" w:hAnsi="Arial" w:cs="Arial"/>
          <w:b/>
          <w:sz w:val="20"/>
          <w:szCs w:val="20"/>
        </w:rPr>
        <w:t xml:space="preserve">Opis </w:t>
      </w:r>
      <w:r w:rsidR="00BB56A0">
        <w:rPr>
          <w:rFonts w:ascii="Arial" w:hAnsi="Arial" w:cs="Arial"/>
          <w:b/>
          <w:sz w:val="20"/>
          <w:szCs w:val="20"/>
        </w:rPr>
        <w:t>FIZAN</w:t>
      </w:r>
    </w:p>
    <w:p w:rsidR="00B11AF8" w:rsidRPr="00D62D00" w:rsidRDefault="00B11AF8" w:rsidP="00B11A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70294" w:rsidRPr="00D62D00" w:rsidRDefault="00D70294" w:rsidP="004B677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41F" w:rsidRPr="004B6777" w:rsidRDefault="00D70294" w:rsidP="004B67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20"/>
        </w:rPr>
      </w:pPr>
      <w:r w:rsidRPr="00D62D00">
        <w:rPr>
          <w:rFonts w:ascii="Arial" w:hAnsi="Arial" w:cs="Arial"/>
          <w:color w:val="000000" w:themeColor="text1"/>
          <w:sz w:val="20"/>
          <w:szCs w:val="20"/>
        </w:rPr>
        <w:t>Fundusz - zgodnie z Regionalną Strategią Innowacji Województwa Małopolskiego – ma przyczynić się do zwiększenia innowacyjności gospodarki województwa małopolskiego poprzez stymulowanie popytu na innowacje i wzmacnianie współpracy nauki i gospodarki, zwłaszcza w dziedzinach specjalizacji regionalnej.</w:t>
      </w:r>
      <w:r w:rsidR="00F40B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0BB9" w:rsidRPr="00F40BB9">
        <w:rPr>
          <w:rFonts w:ascii="Arial" w:hAnsi="Arial" w:cs="Arial"/>
          <w:color w:val="000000" w:themeColor="text1"/>
          <w:sz w:val="20"/>
          <w:szCs w:val="24"/>
        </w:rPr>
        <w:t>Dla zagwarantowania przejrzystości i bezpieczeństwa - Fundusz będzie zorganizowany w postaci FIZAN, działającego w ramach wybranego, istniejącego już TFI i zarządzany przez profesjonalny zespół z rynku inwestowania w B+R, zatrudniony w Spółce Zarządzającej („Podmiot Zarządzający”) (utworzonej przez Inwestorów założycieli Funduszu; struktura właścicielska Spółki Zarządzającej tożsama ze strukturą Funduszu).</w:t>
      </w:r>
      <w:r w:rsidR="004B6777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F40BB9">
        <w:rPr>
          <w:rFonts w:ascii="Arial" w:hAnsi="Arial" w:cs="Arial"/>
          <w:color w:val="000000" w:themeColor="text1"/>
          <w:sz w:val="20"/>
          <w:szCs w:val="20"/>
        </w:rPr>
        <w:t>W związku z powyższym w</w:t>
      </w:r>
      <w:r w:rsidR="002D11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11B7" w:rsidRPr="002D11B7">
        <w:rPr>
          <w:rFonts w:ascii="Arial" w:hAnsi="Arial" w:cs="Arial"/>
          <w:color w:val="000000" w:themeColor="text1"/>
          <w:sz w:val="20"/>
          <w:szCs w:val="20"/>
        </w:rPr>
        <w:t xml:space="preserve">ramach struktury projektu zakłada się utworzenie </w:t>
      </w:r>
      <w:r w:rsidR="002D11B7" w:rsidRPr="002D11B7">
        <w:rPr>
          <w:rFonts w:ascii="Arial" w:hAnsi="Arial" w:cs="Arial"/>
          <w:sz w:val="20"/>
          <w:szCs w:val="20"/>
        </w:rPr>
        <w:t>„Podmiotu Zarządzającego</w:t>
      </w:r>
      <w:r w:rsidR="002D11B7">
        <w:rPr>
          <w:rFonts w:ascii="Arial" w:hAnsi="Arial" w:cs="Arial"/>
          <w:sz w:val="20"/>
          <w:szCs w:val="20"/>
        </w:rPr>
        <w:t>”</w:t>
      </w:r>
      <w:r w:rsidR="002D11B7" w:rsidRPr="002D11B7">
        <w:rPr>
          <w:rFonts w:ascii="Arial" w:hAnsi="Arial" w:cs="Arial"/>
          <w:sz w:val="20"/>
          <w:szCs w:val="20"/>
        </w:rPr>
        <w:t>, z którym zgodnie z  art. 45a ust. 1 i 2 Ustawy</w:t>
      </w:r>
      <w:r w:rsidR="002D11B7">
        <w:rPr>
          <w:rFonts w:ascii="Arial" w:hAnsi="Arial" w:cs="Arial"/>
          <w:sz w:val="20"/>
          <w:szCs w:val="20"/>
        </w:rPr>
        <w:t>,</w:t>
      </w:r>
      <w:r w:rsidR="002D11B7" w:rsidRPr="002D11B7">
        <w:rPr>
          <w:rFonts w:ascii="Arial" w:hAnsi="Arial" w:cs="Arial"/>
          <w:sz w:val="20"/>
          <w:szCs w:val="20"/>
        </w:rPr>
        <w:t xml:space="preserve"> TFI w drodze umowy zawartej w formie pisemnej, powierzy wykonywanie czynności związanych z działalnością prowadzoną przez to TFI. Zawarcie takiej umowy w zakresie zarządzania częścią </w:t>
      </w:r>
      <w:r w:rsidR="0093497A">
        <w:rPr>
          <w:rFonts w:ascii="Arial" w:hAnsi="Arial" w:cs="Arial"/>
          <w:sz w:val="20"/>
          <w:szCs w:val="20"/>
        </w:rPr>
        <w:t xml:space="preserve">portfela inwestycyjnego funduszu </w:t>
      </w:r>
      <w:r w:rsidR="002D11B7" w:rsidRPr="002D11B7">
        <w:rPr>
          <w:rFonts w:ascii="Arial" w:hAnsi="Arial" w:cs="Arial"/>
          <w:sz w:val="20"/>
          <w:szCs w:val="20"/>
        </w:rPr>
        <w:t>nastąpi po uzyskaniu zgody KNF (art.  46 ust. 3a Ustawy).</w:t>
      </w:r>
    </w:p>
    <w:p w:rsidR="004B6777" w:rsidRDefault="004B6777" w:rsidP="004B677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A241F" w:rsidRPr="00210445" w:rsidRDefault="00D70294" w:rsidP="004B677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b/>
          <w:i/>
          <w:color w:val="000000" w:themeColor="text1"/>
          <w:sz w:val="20"/>
          <w:szCs w:val="20"/>
        </w:rPr>
        <w:t>Cel inwestycyjny</w:t>
      </w:r>
      <w:r w:rsidR="0021044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i </w:t>
      </w:r>
      <w:proofErr w:type="spellStart"/>
      <w:r w:rsidR="00210445">
        <w:rPr>
          <w:rFonts w:ascii="Arial" w:hAnsi="Arial" w:cs="Arial"/>
          <w:b/>
          <w:i/>
          <w:color w:val="000000" w:themeColor="text1"/>
          <w:sz w:val="20"/>
          <w:szCs w:val="20"/>
        </w:rPr>
        <w:t>p</w:t>
      </w:r>
      <w:r w:rsidRPr="00D62D0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ipeline</w:t>
      </w:r>
      <w:proofErr w:type="spellEnd"/>
      <w:r w:rsidRPr="00D62D0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projektów: </w:t>
      </w:r>
    </w:p>
    <w:p w:rsidR="00BA241F" w:rsidRPr="00F40BB9" w:rsidRDefault="00210445" w:rsidP="004B6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color w:val="000000" w:themeColor="text1"/>
          <w:sz w:val="20"/>
          <w:szCs w:val="20"/>
        </w:rPr>
        <w:t xml:space="preserve">Fundusz </w:t>
      </w:r>
      <w:r w:rsidRPr="00F40BB9">
        <w:rPr>
          <w:rFonts w:ascii="Arial" w:hAnsi="Arial" w:cs="Arial"/>
          <w:color w:val="000000" w:themeColor="text1"/>
          <w:sz w:val="20"/>
          <w:szCs w:val="20"/>
        </w:rPr>
        <w:t>inwestuje</w:t>
      </w:r>
      <w:r w:rsidRPr="00F40BB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w p</w:t>
      </w:r>
      <w:r w:rsidR="00D70294" w:rsidRPr="00F40BB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rojekty B+R </w:t>
      </w:r>
      <w:r w:rsidR="00F40BB9" w:rsidRPr="00F40BB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w województwie małopolskim </w:t>
      </w:r>
      <w:r w:rsidR="00D70294" w:rsidRPr="00F40BB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pozyskiwane </w:t>
      </w:r>
      <w:r w:rsidR="00D70294" w:rsidRPr="00F40BB9">
        <w:rPr>
          <w:rFonts w:ascii="Arial" w:hAnsi="Arial" w:cs="Arial"/>
          <w:color w:val="000000" w:themeColor="text1"/>
          <w:sz w:val="20"/>
          <w:szCs w:val="20"/>
        </w:rPr>
        <w:t xml:space="preserve">na wczesnym etapie ich rozwoju. </w:t>
      </w:r>
      <w:r w:rsidR="00F40BB9" w:rsidRPr="00F40BB9">
        <w:rPr>
          <w:rFonts w:ascii="Arial" w:hAnsi="Arial" w:cs="Arial"/>
          <w:color w:val="000000" w:themeColor="text1"/>
          <w:sz w:val="20"/>
          <w:szCs w:val="20"/>
        </w:rPr>
        <w:t xml:space="preserve">Projekty te </w:t>
      </w:r>
      <w:r w:rsidR="00F40BB9" w:rsidRPr="00F40BB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pozyskiwane będą z </w:t>
      </w:r>
      <w:r w:rsidR="00F40BB9" w:rsidRPr="00F40BB9">
        <w:rPr>
          <w:rFonts w:ascii="Arial" w:hAnsi="Arial" w:cs="Arial"/>
          <w:color w:val="000000" w:themeColor="text1"/>
          <w:sz w:val="20"/>
          <w:szCs w:val="20"/>
        </w:rPr>
        <w:t>AGH, a także w późniejszym terminie również z innych małopolskich uczelni i instytutów badawczych. Nowe projekty pozyskiwane będą w ramach długoterminowych umów o współpracy, na mocy których Fundusz uzyska na wczesnym etapie dostęp do projektów B+R, generowanych w tych uczelniach i instytutach badawczych.</w:t>
      </w:r>
    </w:p>
    <w:p w:rsidR="003B3023" w:rsidRDefault="003B3023" w:rsidP="004B677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A241F" w:rsidRDefault="00D70294" w:rsidP="004B677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b/>
          <w:i/>
          <w:color w:val="000000" w:themeColor="text1"/>
          <w:sz w:val="20"/>
          <w:szCs w:val="20"/>
        </w:rPr>
        <w:t>Strategia inwestycyjna:</w:t>
      </w:r>
    </w:p>
    <w:p w:rsidR="00BA241F" w:rsidRDefault="00D70294" w:rsidP="004B6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color w:val="000000" w:themeColor="text1"/>
          <w:sz w:val="20"/>
          <w:szCs w:val="20"/>
        </w:rPr>
        <w:t xml:space="preserve">Fundusz inwestuje w projekty B+R w województwie małopolskim. Pod </w:t>
      </w:r>
      <w:r w:rsidR="00210445" w:rsidRPr="00D62D00">
        <w:rPr>
          <w:rFonts w:ascii="Arial" w:hAnsi="Arial" w:cs="Arial"/>
          <w:color w:val="000000" w:themeColor="text1"/>
          <w:sz w:val="20"/>
          <w:szCs w:val="20"/>
        </w:rPr>
        <w:t>uwagę</w:t>
      </w:r>
      <w:r w:rsidRPr="00D62D00">
        <w:rPr>
          <w:rFonts w:ascii="Arial" w:hAnsi="Arial" w:cs="Arial"/>
          <w:color w:val="000000" w:themeColor="text1"/>
          <w:sz w:val="20"/>
          <w:szCs w:val="20"/>
        </w:rPr>
        <w:t xml:space="preserve"> brane </w:t>
      </w:r>
      <w:r w:rsidR="00210445" w:rsidRPr="00D62D00">
        <w:rPr>
          <w:rFonts w:ascii="Arial" w:hAnsi="Arial" w:cs="Arial"/>
          <w:color w:val="000000" w:themeColor="text1"/>
          <w:sz w:val="20"/>
          <w:szCs w:val="20"/>
        </w:rPr>
        <w:t>są</w:t>
      </w:r>
      <w:r w:rsidRPr="00D62D00">
        <w:rPr>
          <w:rFonts w:ascii="Arial" w:hAnsi="Arial" w:cs="Arial"/>
          <w:color w:val="000000" w:themeColor="text1"/>
          <w:sz w:val="20"/>
          <w:szCs w:val="20"/>
        </w:rPr>
        <w:t xml:space="preserve"> projekty ze wszystkich sektorów i segmentów branżowych – kryterium doboru nie jest przynależność do określonej branży, ale perspektywy wzrostu oraz zgodność z aktualnymi regionalnymi inteligentnymi specjalizacjami. Aktualnie regionalne inteligentne specjalizacje to:</w:t>
      </w:r>
    </w:p>
    <w:p w:rsidR="00BA241F" w:rsidRPr="004B6777" w:rsidRDefault="00BA241F" w:rsidP="004B67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6777">
        <w:rPr>
          <w:rFonts w:ascii="Arial" w:hAnsi="Arial" w:cs="Arial"/>
          <w:b/>
          <w:i/>
          <w:color w:val="000000"/>
          <w:sz w:val="20"/>
          <w:szCs w:val="20"/>
        </w:rPr>
        <w:t>Nauki o życiu:</w:t>
      </w:r>
      <w:r w:rsidRPr="004B6777">
        <w:rPr>
          <w:rFonts w:ascii="Arial" w:hAnsi="Arial" w:cs="Arial"/>
          <w:i/>
          <w:color w:val="000000"/>
          <w:sz w:val="20"/>
          <w:szCs w:val="20"/>
        </w:rPr>
        <w:t xml:space="preserve"> Obszary interdyscyplinarne z pogranicza nauk medycznych, biologicznych i biochemicznych takie jak: biochemia, biodynamika, bioinżynieria, </w:t>
      </w:r>
      <w:proofErr w:type="spellStart"/>
      <w:r w:rsidRPr="004B6777">
        <w:rPr>
          <w:rFonts w:ascii="Arial" w:hAnsi="Arial" w:cs="Arial"/>
          <w:i/>
          <w:color w:val="000000"/>
          <w:sz w:val="20"/>
          <w:szCs w:val="20"/>
        </w:rPr>
        <w:t>bioinformatyka</w:t>
      </w:r>
      <w:proofErr w:type="spellEnd"/>
      <w:r w:rsidRPr="004B6777">
        <w:rPr>
          <w:rFonts w:ascii="Arial" w:hAnsi="Arial" w:cs="Arial"/>
          <w:i/>
          <w:color w:val="000000"/>
          <w:sz w:val="20"/>
          <w:szCs w:val="20"/>
        </w:rPr>
        <w:t xml:space="preserve"> i </w:t>
      </w:r>
      <w:proofErr w:type="spellStart"/>
      <w:r w:rsidRPr="004B6777">
        <w:rPr>
          <w:rFonts w:ascii="Arial" w:hAnsi="Arial" w:cs="Arial"/>
          <w:i/>
          <w:color w:val="000000"/>
          <w:sz w:val="20"/>
          <w:szCs w:val="20"/>
        </w:rPr>
        <w:t>biocomputing</w:t>
      </w:r>
      <w:proofErr w:type="spellEnd"/>
      <w:r w:rsidRPr="004B6777">
        <w:rPr>
          <w:rFonts w:ascii="Arial" w:hAnsi="Arial" w:cs="Arial"/>
          <w:i/>
          <w:color w:val="000000"/>
          <w:sz w:val="20"/>
          <w:szCs w:val="20"/>
        </w:rPr>
        <w:t xml:space="preserve">, biologia, biomateriały, inżynieria biomedyczna, systemy biomedyczne, inżynieria </w:t>
      </w:r>
      <w:proofErr w:type="spellStart"/>
      <w:r w:rsidRPr="004B6777">
        <w:rPr>
          <w:rFonts w:ascii="Arial" w:hAnsi="Arial" w:cs="Arial"/>
          <w:i/>
          <w:color w:val="000000"/>
          <w:sz w:val="20"/>
          <w:szCs w:val="20"/>
        </w:rPr>
        <w:t>biomolekularna</w:t>
      </w:r>
      <w:proofErr w:type="spellEnd"/>
      <w:r w:rsidRPr="004B6777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4B6777">
        <w:rPr>
          <w:rFonts w:ascii="Arial" w:hAnsi="Arial" w:cs="Arial"/>
          <w:i/>
          <w:color w:val="000000"/>
          <w:sz w:val="20"/>
          <w:szCs w:val="20"/>
        </w:rPr>
        <w:t>biomonitoring</w:t>
      </w:r>
      <w:proofErr w:type="spellEnd"/>
      <w:r w:rsidRPr="004B6777">
        <w:rPr>
          <w:rFonts w:ascii="Arial" w:hAnsi="Arial" w:cs="Arial"/>
          <w:i/>
          <w:color w:val="000000"/>
          <w:sz w:val="20"/>
          <w:szCs w:val="20"/>
        </w:rPr>
        <w:t xml:space="preserve">, biofizyka, biotechnologia, biologia komórkowa, ekologia, medycyna, farmakologia, ochrona środowiska, nauki o żywieniu i żywności, genetyka i genomika, obrazowanie medycznego, biologia molekularna, nanotechnologia, neurobiologia, botanika, </w:t>
      </w:r>
      <w:proofErr w:type="spellStart"/>
      <w:r w:rsidRPr="004B6777">
        <w:rPr>
          <w:rFonts w:ascii="Arial" w:hAnsi="Arial" w:cs="Arial"/>
          <w:i/>
          <w:color w:val="000000"/>
          <w:sz w:val="20"/>
          <w:szCs w:val="20"/>
        </w:rPr>
        <w:t>proteomika</w:t>
      </w:r>
      <w:proofErr w:type="spellEnd"/>
      <w:r w:rsidRPr="004B6777">
        <w:rPr>
          <w:rFonts w:ascii="Arial" w:hAnsi="Arial" w:cs="Arial"/>
          <w:i/>
          <w:color w:val="000000"/>
          <w:sz w:val="20"/>
          <w:szCs w:val="20"/>
        </w:rPr>
        <w:t xml:space="preserve">, inteligentne biopolimery, inżynieria tkankowa. </w:t>
      </w:r>
    </w:p>
    <w:p w:rsidR="00BA241F" w:rsidRPr="004B6777" w:rsidRDefault="00BA241F" w:rsidP="004B67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6777">
        <w:rPr>
          <w:rFonts w:ascii="Arial" w:hAnsi="Arial" w:cs="Arial"/>
          <w:b/>
          <w:i/>
          <w:color w:val="000000"/>
          <w:sz w:val="20"/>
          <w:szCs w:val="20"/>
        </w:rPr>
        <w:t>Energia zrównoważona:</w:t>
      </w:r>
      <w:r w:rsidRPr="004B6777">
        <w:rPr>
          <w:rFonts w:ascii="Arial" w:hAnsi="Arial" w:cs="Arial"/>
          <w:i/>
          <w:color w:val="000000"/>
          <w:sz w:val="20"/>
          <w:szCs w:val="20"/>
        </w:rPr>
        <w:t xml:space="preserve"> Rozwój czystych, niskoemisyjnych i efektywnych technologii energetycznych; rozwój i wdrażanie technologii wykorzystujących energię ze źródeł odnawialnych, w tym biopaliw; rozwój i wdrażanie technologii służących redukcji zużycia energii; energetyka konsumencka obejmująca rozwój i wdrażanie technologii (np. materiały energooszczędne), metod oraz systemów wspierających budowę̨ rozproszonego rynku energii. </w:t>
      </w:r>
    </w:p>
    <w:p w:rsidR="00BA241F" w:rsidRPr="004B6777" w:rsidRDefault="00BA241F" w:rsidP="004B67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6777">
        <w:rPr>
          <w:rFonts w:ascii="Arial" w:hAnsi="Arial" w:cs="Arial"/>
          <w:b/>
          <w:i/>
          <w:color w:val="000000"/>
          <w:sz w:val="20"/>
          <w:szCs w:val="20"/>
        </w:rPr>
        <w:t xml:space="preserve">Technologie informacyjne i komunikacyjne: </w:t>
      </w:r>
      <w:r w:rsidRPr="004B6777">
        <w:rPr>
          <w:rFonts w:ascii="Arial" w:hAnsi="Arial" w:cs="Arial"/>
          <w:i/>
          <w:color w:val="000000"/>
          <w:sz w:val="20"/>
          <w:szCs w:val="20"/>
        </w:rPr>
        <w:t xml:space="preserve">Produkcja i wykorzystanie urządzeń telekomunikacyjnych i informatycznych oraz usług im towarzyszących, a także gromadzenie, przetwarzanie, udostępnianie informacji w formie elektronicznej z wykorzystaniem technik cyfrowych i wszelkich narzędzi komunikacji elektronicznej. Szczególną̨ rolę przypisano multimediom oraz sektorowi kreatywnemu, wykorzystującemu technologie informacyjne i komunikacyjne, a także działalność z zakresu poligrafii i reprodukcji zapisanych nośników informacji. </w:t>
      </w:r>
    </w:p>
    <w:p w:rsidR="00BA241F" w:rsidRPr="004B6777" w:rsidRDefault="00BA241F" w:rsidP="004B67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6777">
        <w:rPr>
          <w:rFonts w:ascii="Arial" w:hAnsi="Arial" w:cs="Arial"/>
          <w:b/>
          <w:i/>
          <w:color w:val="000000"/>
          <w:sz w:val="20"/>
          <w:szCs w:val="20"/>
        </w:rPr>
        <w:t>Chemia:</w:t>
      </w:r>
      <w:r w:rsidRPr="004B6777">
        <w:rPr>
          <w:rFonts w:ascii="Arial" w:hAnsi="Arial" w:cs="Arial"/>
          <w:i/>
          <w:color w:val="000000"/>
          <w:sz w:val="20"/>
          <w:szCs w:val="20"/>
        </w:rPr>
        <w:t xml:space="preserve"> Nauki chemiczne, w szczególności programy związane z rozwojem i produkcją: nowych katalizatorów przeznaczonych do syntezy i recyklingu polimerów; materiałów kompozytowych przeznaczonych dla budownictwa i rozbudowy infrastruktury transportowej; materiałów koloidalnych ze ściśle zdefiniowaną nanostrukturą; nowych monomerów do otrzymywania polimerów; nowych polimerów; metod separacji i recyklingu materiałów odnawialnych; metod </w:t>
      </w:r>
      <w:r w:rsidRPr="004B6777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chemicznej modyfikacji biomateriałów, polimerów, materiałów kompozytowych; otrzymywania materiałów degradowanych oraz metod otrzymywania monomerów, inżynieria materiałowa. </w:t>
      </w:r>
    </w:p>
    <w:p w:rsidR="00BA241F" w:rsidRPr="004B6777" w:rsidRDefault="00BA241F" w:rsidP="004B67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6777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Produkcja metali i wyrobów metalowych oraz wyrobów z mineralnych surowców niemetalicznych: </w:t>
      </w:r>
      <w:r w:rsidRPr="004B6777">
        <w:rPr>
          <w:rFonts w:ascii="Arial" w:hAnsi="Arial" w:cs="Arial"/>
          <w:i/>
          <w:color w:val="000000"/>
          <w:sz w:val="20"/>
          <w:szCs w:val="20"/>
        </w:rPr>
        <w:t xml:space="preserve">W szczególności rozwój wyrobów metalowych na potrzeby elektryki i energetyki oraz badania z zakresu inżynierii materiałowej; a w zakresie wyrobów z surowców niemetalicznych ̨ przede wszystkim: szkło, porcelana, ceramika, cement, wapno, gips. </w:t>
      </w:r>
    </w:p>
    <w:p w:rsidR="00BA241F" w:rsidRPr="004B6777" w:rsidRDefault="00BA241F" w:rsidP="004B67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6777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Elektronika i przemysł maszynowy: </w:t>
      </w:r>
      <w:r w:rsidRPr="004B6777">
        <w:rPr>
          <w:rFonts w:ascii="Arial" w:hAnsi="Arial" w:cs="Arial"/>
          <w:i/>
          <w:color w:val="000000"/>
          <w:sz w:val="20"/>
          <w:szCs w:val="20"/>
        </w:rPr>
        <w:t xml:space="preserve">W szczególności produkcja i rozwój wyrobów elektronicznych, optycznych, urządzeń elektrycznych i mechanicznych, a także produkcja pojazdów samochodowych i pozostałego sprzętu transportowego. </w:t>
      </w:r>
    </w:p>
    <w:p w:rsidR="00BA241F" w:rsidRPr="004B6777" w:rsidRDefault="00BA241F" w:rsidP="004B67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B6777">
        <w:rPr>
          <w:rFonts w:ascii="Arial" w:hAnsi="Arial" w:cs="Arial"/>
          <w:b/>
          <w:i/>
          <w:color w:val="000000"/>
          <w:sz w:val="20"/>
          <w:szCs w:val="20"/>
        </w:rPr>
        <w:t>Przemysły kreatywne i czasu wolnego:</w:t>
      </w:r>
      <w:r w:rsidRPr="004B6777">
        <w:rPr>
          <w:rFonts w:ascii="Arial" w:hAnsi="Arial" w:cs="Arial"/>
          <w:i/>
          <w:color w:val="000000"/>
          <w:sz w:val="20"/>
          <w:szCs w:val="20"/>
        </w:rPr>
        <w:t xml:space="preserve"> W szczególności produkcja, wytwarzanie, wystawiennictwo jak i sprzedaż</w:t>
      </w:r>
      <w:r w:rsidRPr="004B6777">
        <w:rPr>
          <w:rFonts w:ascii="Arial" w:hAnsi="Arial" w:cs="Arial"/>
          <w:i/>
          <w:color w:val="000000"/>
          <w:position w:val="2"/>
          <w:sz w:val="20"/>
          <w:szCs w:val="20"/>
        </w:rPr>
        <w:t xml:space="preserve"> </w:t>
      </w:r>
      <w:r w:rsidRPr="004B6777">
        <w:rPr>
          <w:rFonts w:ascii="Arial" w:hAnsi="Arial" w:cs="Arial"/>
          <w:i/>
          <w:color w:val="000000"/>
          <w:sz w:val="20"/>
          <w:szCs w:val="20"/>
        </w:rPr>
        <w:t xml:space="preserve">dóbr chronionych prawami autorskimi, działalność kulturalna i branża turystyczna. </w:t>
      </w:r>
    </w:p>
    <w:p w:rsidR="00BA241F" w:rsidRDefault="00D70294" w:rsidP="004B6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color w:val="000000"/>
          <w:sz w:val="20"/>
          <w:szCs w:val="20"/>
        </w:rPr>
        <w:t>Inteligentne specjalizacje będą określane według aktualnej listy regionalnych inteligentnych specjalizacji publikowanej na stronach internetowych U</w:t>
      </w:r>
      <w:r w:rsidR="00F40BB9">
        <w:rPr>
          <w:rFonts w:ascii="Arial" w:hAnsi="Arial" w:cs="Arial"/>
          <w:color w:val="000000"/>
          <w:sz w:val="20"/>
          <w:szCs w:val="20"/>
        </w:rPr>
        <w:t xml:space="preserve">rzędu </w:t>
      </w:r>
      <w:r w:rsidRPr="00D62D00">
        <w:rPr>
          <w:rFonts w:ascii="Arial" w:hAnsi="Arial" w:cs="Arial"/>
          <w:color w:val="000000"/>
          <w:sz w:val="20"/>
          <w:szCs w:val="20"/>
        </w:rPr>
        <w:t>M</w:t>
      </w:r>
      <w:r w:rsidR="00F40BB9">
        <w:rPr>
          <w:rFonts w:ascii="Arial" w:hAnsi="Arial" w:cs="Arial"/>
          <w:color w:val="000000"/>
          <w:sz w:val="20"/>
          <w:szCs w:val="20"/>
        </w:rPr>
        <w:t>arszałkowskiego</w:t>
      </w:r>
      <w:r w:rsidRPr="00D62D00">
        <w:rPr>
          <w:rFonts w:ascii="Arial" w:hAnsi="Arial" w:cs="Arial"/>
          <w:color w:val="000000"/>
          <w:sz w:val="20"/>
          <w:szCs w:val="20"/>
        </w:rPr>
        <w:t xml:space="preserve"> W</w:t>
      </w:r>
      <w:r w:rsidR="00F40BB9">
        <w:rPr>
          <w:rFonts w:ascii="Arial" w:hAnsi="Arial" w:cs="Arial"/>
          <w:color w:val="000000"/>
          <w:sz w:val="20"/>
          <w:szCs w:val="20"/>
        </w:rPr>
        <w:t xml:space="preserve">ojewództwa </w:t>
      </w:r>
      <w:r w:rsidRPr="00D62D00">
        <w:rPr>
          <w:rFonts w:ascii="Arial" w:hAnsi="Arial" w:cs="Arial"/>
          <w:color w:val="000000"/>
          <w:sz w:val="20"/>
          <w:szCs w:val="20"/>
        </w:rPr>
        <w:t>M</w:t>
      </w:r>
      <w:r w:rsidR="00F40BB9">
        <w:rPr>
          <w:rFonts w:ascii="Arial" w:hAnsi="Arial" w:cs="Arial"/>
          <w:color w:val="000000"/>
          <w:sz w:val="20"/>
          <w:szCs w:val="20"/>
        </w:rPr>
        <w:t>ałopolskiego</w:t>
      </w:r>
      <w:r w:rsidRPr="00D62D00">
        <w:rPr>
          <w:rFonts w:ascii="Arial" w:hAnsi="Arial" w:cs="Arial"/>
          <w:color w:val="000000"/>
          <w:sz w:val="20"/>
          <w:szCs w:val="20"/>
        </w:rPr>
        <w:t>.</w:t>
      </w:r>
    </w:p>
    <w:p w:rsidR="00BA241F" w:rsidRDefault="00D70294" w:rsidP="004B6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color w:val="000000" w:themeColor="text1"/>
          <w:sz w:val="20"/>
          <w:szCs w:val="20"/>
        </w:rPr>
        <w:t>Fundusz inwestuje w projekty B+R na wczesnym etapie rozwoju (</w:t>
      </w:r>
      <w:proofErr w:type="spellStart"/>
      <w:r w:rsidRPr="00D62D00">
        <w:rPr>
          <w:rFonts w:ascii="Arial" w:hAnsi="Arial" w:cs="Arial"/>
          <w:color w:val="000000" w:themeColor="text1"/>
          <w:sz w:val="20"/>
          <w:szCs w:val="20"/>
        </w:rPr>
        <w:t>PoP</w:t>
      </w:r>
      <w:proofErr w:type="spellEnd"/>
      <w:r w:rsidRPr="00D62D00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1"/>
      </w:r>
      <w:r w:rsidRPr="00D62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62D00">
        <w:rPr>
          <w:rFonts w:ascii="Arial" w:hAnsi="Arial" w:cs="Arial"/>
          <w:color w:val="000000" w:themeColor="text1"/>
          <w:sz w:val="20"/>
          <w:szCs w:val="20"/>
        </w:rPr>
        <w:t>PoC</w:t>
      </w:r>
      <w:proofErr w:type="spellEnd"/>
      <w:r w:rsidRPr="00D62D00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2"/>
      </w:r>
      <w:r w:rsidRPr="00D62D00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62D00">
        <w:rPr>
          <w:rFonts w:ascii="Arial" w:hAnsi="Arial" w:cs="Arial"/>
          <w:color w:val="000000" w:themeColor="text1"/>
          <w:sz w:val="20"/>
          <w:szCs w:val="20"/>
        </w:rPr>
        <w:t>Seed</w:t>
      </w:r>
      <w:proofErr w:type="spellEnd"/>
      <w:r w:rsidRPr="00D62D00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3"/>
      </w:r>
      <w:r w:rsidRPr="00D62D00">
        <w:rPr>
          <w:rFonts w:ascii="Arial" w:hAnsi="Arial" w:cs="Arial"/>
          <w:color w:val="000000" w:themeColor="text1"/>
          <w:sz w:val="20"/>
          <w:szCs w:val="20"/>
        </w:rPr>
        <w:t>), rozwijane przy współpracy z partnerami biznesowymi / przedsiębiorstwami z Małopolski.</w:t>
      </w:r>
    </w:p>
    <w:p w:rsidR="003B3023" w:rsidRDefault="003B3023" w:rsidP="004B6777">
      <w:pPr>
        <w:pStyle w:val="Default"/>
        <w:jc w:val="both"/>
        <w:rPr>
          <w:b/>
          <w:bCs/>
          <w:i/>
          <w:iCs/>
          <w:color w:val="000000" w:themeColor="text1"/>
          <w:sz w:val="20"/>
          <w:szCs w:val="20"/>
        </w:rPr>
      </w:pPr>
    </w:p>
    <w:p w:rsidR="00D70294" w:rsidRPr="00D62D00" w:rsidRDefault="00D70294" w:rsidP="004B6777">
      <w:pPr>
        <w:pStyle w:val="Default"/>
        <w:jc w:val="both"/>
        <w:rPr>
          <w:b/>
          <w:bCs/>
          <w:i/>
          <w:iCs/>
          <w:color w:val="000000" w:themeColor="text1"/>
          <w:sz w:val="20"/>
          <w:szCs w:val="20"/>
        </w:rPr>
      </w:pPr>
      <w:proofErr w:type="spellStart"/>
      <w:r w:rsidRPr="00D62D00">
        <w:rPr>
          <w:b/>
          <w:bCs/>
          <w:i/>
          <w:iCs/>
          <w:color w:val="000000" w:themeColor="text1"/>
          <w:sz w:val="20"/>
          <w:szCs w:val="20"/>
        </w:rPr>
        <w:t>Syndykacja</w:t>
      </w:r>
      <w:proofErr w:type="spellEnd"/>
      <w:r w:rsidRPr="00D62D00">
        <w:rPr>
          <w:b/>
          <w:bCs/>
          <w:i/>
          <w:iCs/>
          <w:color w:val="000000" w:themeColor="text1"/>
          <w:sz w:val="20"/>
          <w:szCs w:val="20"/>
        </w:rPr>
        <w:t xml:space="preserve"> / </w:t>
      </w:r>
      <w:proofErr w:type="spellStart"/>
      <w:r w:rsidRPr="00D62D00">
        <w:rPr>
          <w:b/>
          <w:bCs/>
          <w:i/>
          <w:iCs/>
          <w:color w:val="000000" w:themeColor="text1"/>
          <w:sz w:val="20"/>
          <w:szCs w:val="20"/>
        </w:rPr>
        <w:t>koinwestowanie</w:t>
      </w:r>
      <w:proofErr w:type="spellEnd"/>
      <w:r w:rsidRPr="00D62D00">
        <w:rPr>
          <w:b/>
          <w:bCs/>
          <w:i/>
          <w:iCs/>
          <w:color w:val="000000" w:themeColor="text1"/>
          <w:sz w:val="20"/>
          <w:szCs w:val="20"/>
        </w:rPr>
        <w:t xml:space="preserve">: </w:t>
      </w:r>
    </w:p>
    <w:p w:rsidR="00D70294" w:rsidRPr="006D67A0" w:rsidRDefault="006D67A0" w:rsidP="004B6777">
      <w:pPr>
        <w:pStyle w:val="Default"/>
        <w:jc w:val="both"/>
        <w:rPr>
          <w:color w:val="000000" w:themeColor="text1"/>
          <w:sz w:val="20"/>
        </w:rPr>
      </w:pPr>
      <w:r w:rsidRPr="006D67A0">
        <w:rPr>
          <w:color w:val="000000" w:themeColor="text1"/>
          <w:sz w:val="20"/>
        </w:rPr>
        <w:t xml:space="preserve">Planowane dla inwestycji od etapu </w:t>
      </w:r>
      <w:proofErr w:type="spellStart"/>
      <w:r w:rsidRPr="006D67A0">
        <w:rPr>
          <w:color w:val="000000" w:themeColor="text1"/>
          <w:sz w:val="20"/>
        </w:rPr>
        <w:t>Seed</w:t>
      </w:r>
      <w:proofErr w:type="spellEnd"/>
      <w:r w:rsidRPr="006D67A0">
        <w:rPr>
          <w:color w:val="000000" w:themeColor="text1"/>
          <w:sz w:val="20"/>
        </w:rPr>
        <w:t xml:space="preserve">, z partnerami branżowymi i/lub funduszami VC. Fundusz do każdej inwestycji w projekt B+R zidentyfikowany na uczelni lub w instytucie badawczym będzie poszukiwał partnera biznesowego na wczesnym etapie </w:t>
      </w:r>
      <w:proofErr w:type="spellStart"/>
      <w:r w:rsidRPr="006D67A0">
        <w:rPr>
          <w:color w:val="000000" w:themeColor="text1"/>
          <w:sz w:val="20"/>
        </w:rPr>
        <w:t>PoP</w:t>
      </w:r>
      <w:proofErr w:type="spellEnd"/>
      <w:r w:rsidRPr="006D67A0">
        <w:rPr>
          <w:color w:val="000000" w:themeColor="text1"/>
          <w:sz w:val="20"/>
        </w:rPr>
        <w:t xml:space="preserve"> i </w:t>
      </w:r>
      <w:proofErr w:type="spellStart"/>
      <w:r w:rsidRPr="006D67A0">
        <w:rPr>
          <w:color w:val="000000" w:themeColor="text1"/>
          <w:sz w:val="20"/>
        </w:rPr>
        <w:t>PoC</w:t>
      </w:r>
      <w:proofErr w:type="spellEnd"/>
      <w:r w:rsidRPr="006D67A0">
        <w:rPr>
          <w:color w:val="000000" w:themeColor="text1"/>
          <w:sz w:val="20"/>
        </w:rPr>
        <w:t xml:space="preserve"> tak aby na etapie </w:t>
      </w:r>
      <w:proofErr w:type="spellStart"/>
      <w:r w:rsidRPr="006D67A0">
        <w:rPr>
          <w:color w:val="000000" w:themeColor="text1"/>
          <w:sz w:val="20"/>
        </w:rPr>
        <w:t>Seed</w:t>
      </w:r>
      <w:proofErr w:type="spellEnd"/>
      <w:r w:rsidRPr="006D67A0">
        <w:rPr>
          <w:color w:val="000000" w:themeColor="text1"/>
          <w:sz w:val="20"/>
        </w:rPr>
        <w:t xml:space="preserve"> efektywnie pozyskać </w:t>
      </w:r>
      <w:proofErr w:type="spellStart"/>
      <w:r w:rsidRPr="006D67A0">
        <w:rPr>
          <w:color w:val="000000" w:themeColor="text1"/>
          <w:sz w:val="20"/>
        </w:rPr>
        <w:t>koinwestora</w:t>
      </w:r>
      <w:proofErr w:type="spellEnd"/>
      <w:r w:rsidRPr="006D67A0">
        <w:rPr>
          <w:color w:val="000000" w:themeColor="text1"/>
          <w:sz w:val="20"/>
        </w:rPr>
        <w:t xml:space="preserve"> do każdego projektu.</w:t>
      </w:r>
      <w:r w:rsidR="00D70294" w:rsidRPr="006D67A0">
        <w:rPr>
          <w:color w:val="000000" w:themeColor="text1"/>
          <w:sz w:val="16"/>
          <w:szCs w:val="20"/>
        </w:rPr>
        <w:t xml:space="preserve"> </w:t>
      </w:r>
    </w:p>
    <w:p w:rsidR="003B3023" w:rsidRDefault="003B3023" w:rsidP="004B6777">
      <w:pPr>
        <w:pStyle w:val="Default"/>
        <w:jc w:val="both"/>
        <w:rPr>
          <w:b/>
          <w:i/>
          <w:color w:val="000000" w:themeColor="text1"/>
          <w:sz w:val="20"/>
          <w:szCs w:val="20"/>
        </w:rPr>
      </w:pPr>
    </w:p>
    <w:p w:rsidR="00D70294" w:rsidRPr="00D62D00" w:rsidRDefault="00D70294" w:rsidP="004B6777">
      <w:pPr>
        <w:pStyle w:val="Default"/>
        <w:jc w:val="both"/>
        <w:rPr>
          <w:b/>
          <w:i/>
          <w:color w:val="000000" w:themeColor="text1"/>
          <w:sz w:val="20"/>
          <w:szCs w:val="20"/>
        </w:rPr>
      </w:pPr>
      <w:r w:rsidRPr="00D62D00">
        <w:rPr>
          <w:b/>
          <w:i/>
          <w:color w:val="000000" w:themeColor="text1"/>
          <w:sz w:val="20"/>
          <w:szCs w:val="20"/>
        </w:rPr>
        <w:t xml:space="preserve">Forma inwestycji: </w:t>
      </w:r>
    </w:p>
    <w:p w:rsidR="00BA241F" w:rsidRPr="006D67A0" w:rsidRDefault="006D67A0" w:rsidP="004B6777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Preferowaną formą inwestycji Funduszu jest inwestycja w equity spółek portfelowych. W uzasadnionych przypadkach Fundusz może stosować instrumenty dłużne z opcją 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Debt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 to Equity 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Swap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DtoE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Swap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>), które umożliwiają zamianę długu na udział w kapitale zakładowym lub akcje</w:t>
      </w:r>
      <w:r w:rsidR="00D70294" w:rsidRPr="006D67A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B3023" w:rsidRDefault="003B3023" w:rsidP="004B6777">
      <w:pPr>
        <w:spacing w:after="0" w:line="240" w:lineRule="auto"/>
        <w:ind w:firstLine="12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A241F" w:rsidRDefault="00D70294" w:rsidP="004B6777">
      <w:pPr>
        <w:spacing w:after="0" w:line="240" w:lineRule="auto"/>
        <w:ind w:firstLine="12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b/>
          <w:i/>
          <w:color w:val="000000" w:themeColor="text1"/>
          <w:sz w:val="20"/>
          <w:szCs w:val="20"/>
        </w:rPr>
        <w:t>Proces inwestycyjny</w:t>
      </w:r>
      <w:r w:rsidR="003B302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(„kamienie milowe” projektu)</w:t>
      </w:r>
      <w:r w:rsidRPr="00D62D00">
        <w:rPr>
          <w:rFonts w:ascii="Arial" w:hAnsi="Arial" w:cs="Arial"/>
          <w:b/>
          <w:i/>
          <w:color w:val="000000" w:themeColor="text1"/>
          <w:sz w:val="20"/>
          <w:szCs w:val="20"/>
        </w:rPr>
        <w:t>:</w:t>
      </w:r>
    </w:p>
    <w:p w:rsidR="00BA241F" w:rsidRPr="006D67A0" w:rsidRDefault="006D67A0" w:rsidP="004B6777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Fundusz inwestuje w projekty B+R na wczesnym etapie rozwoju, poczynając od tzw. etapu Proof of 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Principle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PoP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), pozyskane z bazy AGH lub bezpośrednio zgłoszone do Funduszu przez pracownika naukowego lub przedsiębiorcę we współpracy z uczelnią. Na etapie 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PoP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 ocenia się potencjał ekonomiczny zgłoszonego projektu. Fundusz sfinansuje koszty prac na etapie 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PoP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 wybranych projektów po uzyskaniu zgody od Komitetu Inwestycyjnego</w:t>
      </w:r>
      <w:r w:rsidR="00D70294" w:rsidRPr="006D67A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D70294" w:rsidRPr="006D67A0" w:rsidRDefault="006D67A0" w:rsidP="004B6777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Po upływie średnio ok. 6 miesięcy Fundusz kontynuuje inwestowanie w projekty, które będą się cechowały akceptowalnym potencjałem ekonomicznym i zostaną zakwalifikowane do kolejnego etapu, tzw. Proof of 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Concept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PoC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). Na etapie 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PoC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 musi powstać know-how, który albo będzie skutkował zgłoszeniem patentowym, albo patent świadomie nie zostanie zgłoszony by chronić know-how przed skopiowaniem. W tym drugim przypadku konieczna będzie weryfikacja rynkowa know-how poprzez pozyskanie partnera biznesowego gotowego współfinansować dalszy rozwój projektu</w:t>
      </w:r>
      <w:r w:rsidR="00D70294" w:rsidRPr="006D67A0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:rsidR="00D70294" w:rsidRPr="006D67A0" w:rsidRDefault="006D67A0" w:rsidP="004B6777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Po upływie średnio ok. 18 miesięcy Fundusz kontynuuje inwestowanie w projekty, w ramach których albo został zgłoszony patent albo pozyskany inwestor branżowy i które zostaną zakwalifikowane do kolejnego etapu tzn. 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Seed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. Na etapie 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Seed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 wykonane zostaną prace nad rozwojem najprostszego produktu, który można sprzedać („Minimum 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Viable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 Product”). Na tym etapie trwającym średnio 24 miesiące do każdego projektu pozyskany zostanie </w:t>
      </w:r>
      <w:proofErr w:type="spellStart"/>
      <w:r w:rsidRPr="006D67A0">
        <w:rPr>
          <w:rFonts w:ascii="Arial" w:hAnsi="Arial" w:cs="Arial"/>
          <w:color w:val="000000" w:themeColor="text1"/>
          <w:sz w:val="20"/>
          <w:szCs w:val="20"/>
        </w:rPr>
        <w:t>koinwestor</w:t>
      </w:r>
      <w:proofErr w:type="spellEnd"/>
      <w:r w:rsidRPr="006D67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D67A0">
        <w:rPr>
          <w:rFonts w:ascii="Arial" w:hAnsi="Arial" w:cs="Arial"/>
          <w:color w:val="000000" w:themeColor="text1"/>
          <w:sz w:val="20"/>
          <w:szCs w:val="20"/>
        </w:rPr>
        <w:lastRenderedPageBreak/>
        <w:t>branżowy albo finansowy. Fundusz będzie wspierał spółki portfelowe w pozyskiwaniu inwestorów zewnętrznych</w:t>
      </w:r>
      <w:r w:rsidR="00AA6391" w:rsidRPr="006D67A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A6391" w:rsidRDefault="00AA6391" w:rsidP="004B6777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A6391" w:rsidRPr="00426186" w:rsidRDefault="00AA6391" w:rsidP="004B6777">
      <w:pPr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426186">
        <w:rPr>
          <w:rFonts w:ascii="Arial" w:hAnsi="Arial" w:cs="Arial"/>
          <w:b/>
          <w:i/>
          <w:color w:val="000000" w:themeColor="text1"/>
          <w:sz w:val="20"/>
          <w:szCs w:val="20"/>
        </w:rPr>
        <w:t>(</w:t>
      </w:r>
      <w:r w:rsidR="00426186" w:rsidRPr="00426186">
        <w:rPr>
          <w:rFonts w:ascii="Arial" w:hAnsi="Arial" w:cs="Arial"/>
          <w:b/>
          <w:i/>
          <w:color w:val="000000" w:themeColor="text1"/>
          <w:sz w:val="20"/>
          <w:szCs w:val="20"/>
        </w:rPr>
        <w:t>r</w:t>
      </w:r>
      <w:r w:rsidRPr="0042618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azem </w:t>
      </w:r>
      <w:r w:rsidRPr="00426186">
        <w:rPr>
          <w:rFonts w:ascii="Arial" w:hAnsi="Arial" w:cs="Arial"/>
          <w:b/>
          <w:i/>
          <w:sz w:val="20"/>
          <w:szCs w:val="20"/>
        </w:rPr>
        <w:t>powyższe</w:t>
      </w:r>
      <w:r w:rsidR="00426186" w:rsidRPr="00426186">
        <w:rPr>
          <w:rFonts w:ascii="Arial" w:hAnsi="Arial" w:cs="Arial"/>
          <w:b/>
          <w:i/>
          <w:sz w:val="20"/>
          <w:szCs w:val="20"/>
        </w:rPr>
        <w:t xml:space="preserve"> stanowi </w:t>
      </w:r>
      <w:r w:rsidR="0065643B" w:rsidRPr="00426186">
        <w:rPr>
          <w:rFonts w:ascii="Arial" w:hAnsi="Arial" w:cs="Arial"/>
          <w:b/>
          <w:i/>
          <w:sz w:val="20"/>
          <w:szCs w:val="20"/>
        </w:rPr>
        <w:t>pierwszy</w:t>
      </w:r>
      <w:r w:rsidRPr="00426186">
        <w:rPr>
          <w:rFonts w:ascii="Arial" w:hAnsi="Arial" w:cs="Arial"/>
          <w:b/>
          <w:i/>
          <w:sz w:val="20"/>
          <w:szCs w:val="20"/>
        </w:rPr>
        <w:t xml:space="preserve"> </w:t>
      </w:r>
      <w:r w:rsidR="00797689" w:rsidRPr="00426186">
        <w:rPr>
          <w:rFonts w:ascii="Arial" w:hAnsi="Arial" w:cs="Arial"/>
          <w:b/>
          <w:i/>
          <w:sz w:val="20"/>
          <w:szCs w:val="20"/>
        </w:rPr>
        <w:t xml:space="preserve">(kluczowy) </w:t>
      </w:r>
      <w:r w:rsidRPr="00426186">
        <w:rPr>
          <w:rFonts w:ascii="Arial" w:hAnsi="Arial" w:cs="Arial"/>
          <w:b/>
          <w:i/>
          <w:sz w:val="20"/>
          <w:szCs w:val="20"/>
        </w:rPr>
        <w:t>kamień milowy</w:t>
      </w:r>
      <w:r w:rsidR="00426186" w:rsidRPr="00426186">
        <w:rPr>
          <w:rFonts w:ascii="Arial" w:hAnsi="Arial" w:cs="Arial"/>
          <w:b/>
          <w:i/>
          <w:sz w:val="20"/>
          <w:szCs w:val="20"/>
        </w:rPr>
        <w:t xml:space="preserve"> (48 miesięcy)</w:t>
      </w:r>
      <w:r w:rsidRPr="00426186">
        <w:rPr>
          <w:rFonts w:ascii="Arial" w:hAnsi="Arial" w:cs="Arial"/>
          <w:b/>
          <w:i/>
          <w:sz w:val="20"/>
          <w:szCs w:val="20"/>
        </w:rPr>
        <w:t>, po upływie którego nastąpi ocena i  monitoring, które pozwolą zorientować się czy projekt jest realizowany zgodnie z założeniami, przed przystąpieniem do realizacji kolejnego kamienia milowego: etapu rozwoju, z udziałem finansowania zewnętrznego albo inwestorów branżowych</w:t>
      </w:r>
      <w:r w:rsidR="00426186" w:rsidRPr="00426186">
        <w:rPr>
          <w:rFonts w:ascii="Arial" w:hAnsi="Arial" w:cs="Arial"/>
          <w:b/>
          <w:i/>
          <w:sz w:val="20"/>
          <w:szCs w:val="20"/>
        </w:rPr>
        <w:t>, tzw. rewizja projektu</w:t>
      </w:r>
      <w:r w:rsidRPr="00426186">
        <w:rPr>
          <w:rFonts w:ascii="Arial" w:hAnsi="Arial" w:cs="Arial"/>
          <w:b/>
          <w:i/>
          <w:sz w:val="20"/>
          <w:szCs w:val="20"/>
        </w:rPr>
        <w:t>)</w:t>
      </w:r>
    </w:p>
    <w:p w:rsidR="00AA6391" w:rsidRPr="00AA6391" w:rsidRDefault="00AA6391" w:rsidP="004B677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70294" w:rsidRPr="00D62D00" w:rsidRDefault="00D70294" w:rsidP="004B6777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color w:val="000000" w:themeColor="text1"/>
          <w:sz w:val="20"/>
          <w:szCs w:val="20"/>
        </w:rPr>
        <w:t>Kolejne etapy rozwoju projektów</w:t>
      </w:r>
      <w:r w:rsidR="00AA6391">
        <w:rPr>
          <w:rFonts w:ascii="Arial" w:hAnsi="Arial" w:cs="Arial"/>
          <w:color w:val="000000" w:themeColor="text1"/>
          <w:sz w:val="20"/>
          <w:szCs w:val="20"/>
        </w:rPr>
        <w:t xml:space="preserve"> – w przypadku pozytywnej oceny realizacji poprzedzających etapów</w:t>
      </w:r>
      <w:r w:rsidRPr="00D62D0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62D00">
        <w:rPr>
          <w:rFonts w:ascii="Arial" w:hAnsi="Arial" w:cs="Arial"/>
          <w:color w:val="000000" w:themeColor="text1"/>
          <w:sz w:val="20"/>
          <w:szCs w:val="20"/>
        </w:rPr>
        <w:t>Growth</w:t>
      </w:r>
      <w:proofErr w:type="spellEnd"/>
      <w:r w:rsidRPr="00D62D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62D00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4"/>
      </w:r>
      <w:r w:rsidRPr="00D62D00">
        <w:rPr>
          <w:rFonts w:ascii="Arial" w:hAnsi="Arial" w:cs="Arial"/>
          <w:color w:val="000000" w:themeColor="text1"/>
          <w:sz w:val="20"/>
          <w:szCs w:val="20"/>
        </w:rPr>
        <w:t xml:space="preserve"> (Wzrost)</w:t>
      </w:r>
      <w:r w:rsidR="00797689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797689" w:rsidRPr="00797689">
        <w:rPr>
          <w:rFonts w:ascii="Arial" w:hAnsi="Arial" w:cs="Arial"/>
          <w:b/>
          <w:color w:val="000000" w:themeColor="text1"/>
          <w:sz w:val="20"/>
          <w:szCs w:val="20"/>
        </w:rPr>
        <w:t>drugi kamień milowy</w:t>
      </w:r>
      <w:r w:rsidRPr="00D62D00">
        <w:rPr>
          <w:rFonts w:ascii="Arial" w:hAnsi="Arial" w:cs="Arial"/>
          <w:color w:val="000000" w:themeColor="text1"/>
          <w:sz w:val="20"/>
          <w:szCs w:val="20"/>
        </w:rPr>
        <w:t xml:space="preserve"> i Expansion </w:t>
      </w:r>
      <w:r w:rsidRPr="00D62D00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5"/>
      </w:r>
      <w:r w:rsidRPr="00D62D00">
        <w:rPr>
          <w:rFonts w:ascii="Arial" w:hAnsi="Arial" w:cs="Arial"/>
          <w:color w:val="000000" w:themeColor="text1"/>
          <w:sz w:val="20"/>
          <w:szCs w:val="20"/>
        </w:rPr>
        <w:t xml:space="preserve"> (Ekspansja)</w:t>
      </w:r>
      <w:r w:rsidR="00797689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797689" w:rsidRPr="00797689">
        <w:rPr>
          <w:rFonts w:ascii="Arial" w:hAnsi="Arial" w:cs="Arial"/>
          <w:b/>
          <w:color w:val="000000" w:themeColor="text1"/>
          <w:sz w:val="20"/>
          <w:szCs w:val="20"/>
        </w:rPr>
        <w:t>trzeci kamień milowy</w:t>
      </w:r>
      <w:r w:rsidRPr="00D62D00">
        <w:rPr>
          <w:rFonts w:ascii="Arial" w:hAnsi="Arial" w:cs="Arial"/>
          <w:color w:val="000000" w:themeColor="text1"/>
          <w:sz w:val="20"/>
          <w:szCs w:val="20"/>
        </w:rPr>
        <w:t xml:space="preserve"> (trwające średnio po 24 miesiące), będą wymagały finansowania zewnętrznego albo od inwestorów branżowych albo finansowych. Fundusz będzie wspierał spółki portfelowe w pozyskiwaniu inwestorów.</w:t>
      </w:r>
    </w:p>
    <w:p w:rsidR="00797689" w:rsidRDefault="00797689" w:rsidP="004B6777">
      <w:pPr>
        <w:pStyle w:val="Default"/>
        <w:jc w:val="both"/>
        <w:rPr>
          <w:b/>
          <w:i/>
          <w:color w:val="000000" w:themeColor="text1"/>
          <w:sz w:val="20"/>
          <w:szCs w:val="20"/>
        </w:rPr>
      </w:pPr>
    </w:p>
    <w:p w:rsidR="00797689" w:rsidRPr="00426186" w:rsidRDefault="00426186" w:rsidP="004B6777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426186">
        <w:rPr>
          <w:rFonts w:ascii="Arial" w:eastAsia="Times New Roman" w:hAnsi="Arial" w:cs="Arial"/>
          <w:b/>
          <w:i/>
          <w:sz w:val="20"/>
        </w:rPr>
        <w:t>UWAGA:</w:t>
      </w:r>
      <w:r w:rsidRPr="00426186">
        <w:rPr>
          <w:rFonts w:ascii="Arial" w:eastAsia="Times New Roman" w:hAnsi="Arial" w:cs="Arial"/>
          <w:i/>
          <w:sz w:val="20"/>
        </w:rPr>
        <w:t xml:space="preserve"> </w:t>
      </w:r>
      <w:r w:rsidR="00797689" w:rsidRPr="00426186">
        <w:rPr>
          <w:rFonts w:ascii="Arial" w:eastAsia="Times New Roman" w:hAnsi="Arial" w:cs="Arial"/>
          <w:i/>
          <w:sz w:val="20"/>
        </w:rPr>
        <w:t>Zakłada się, iż po upływie każdego z „kamieni milowych” zostanie dokonana ocena, jak dany etap i proces został zrealizowany, w tym ile środków zostało zainwestowanych, a także w ile projektów, jak przebiega współpraca pomiędzy stronami / interesariuszami przedsięwzięcia, jak prezentuje się strona kosztowa or</w:t>
      </w:r>
      <w:bookmarkStart w:id="0" w:name="_GoBack"/>
      <w:bookmarkEnd w:id="0"/>
      <w:r w:rsidR="00797689" w:rsidRPr="00426186">
        <w:rPr>
          <w:rFonts w:ascii="Arial" w:eastAsia="Times New Roman" w:hAnsi="Arial" w:cs="Arial"/>
          <w:i/>
          <w:sz w:val="20"/>
        </w:rPr>
        <w:t xml:space="preserve">az czy należy realizować kolejny zdefiniowany „kamień milowy”. </w:t>
      </w:r>
      <w:r w:rsidRPr="00426186">
        <w:rPr>
          <w:rFonts w:ascii="Arial" w:eastAsia="Times New Roman" w:hAnsi="Arial" w:cs="Arial"/>
          <w:i/>
          <w:sz w:val="20"/>
        </w:rPr>
        <w:t>Z tego też względu w</w:t>
      </w:r>
      <w:r w:rsidR="00797689" w:rsidRPr="00426186">
        <w:rPr>
          <w:rFonts w:ascii="Arial" w:eastAsia="Times New Roman" w:hAnsi="Arial" w:cs="Arial"/>
          <w:i/>
          <w:sz w:val="20"/>
        </w:rPr>
        <w:t xml:space="preserve"> toku realizacji opisanego projektu inwestycyjnego zakłada się umożliwienie wszystkim interesariuszom / stronom tego procesu, iż po realizacji danego kamienia milowego nastąpi monitoring zrealizowanych działań, a następnie na tej podstawie nastąpi decyzja co do kontynuacji / zmiany stosownych umów o współpracę, o finansowanie lub realizacji dalszych planów inwestycyjnych.</w:t>
      </w:r>
    </w:p>
    <w:p w:rsidR="00797689" w:rsidRDefault="00797689" w:rsidP="004B6777">
      <w:pPr>
        <w:pStyle w:val="Default"/>
        <w:jc w:val="both"/>
        <w:rPr>
          <w:b/>
          <w:i/>
          <w:color w:val="000000" w:themeColor="text1"/>
          <w:sz w:val="20"/>
          <w:szCs w:val="20"/>
        </w:rPr>
      </w:pPr>
    </w:p>
    <w:p w:rsidR="009569D5" w:rsidRDefault="009569D5" w:rsidP="004B6777">
      <w:pPr>
        <w:pStyle w:val="Default"/>
        <w:jc w:val="both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Dodatkowe finansowanie:</w:t>
      </w:r>
    </w:p>
    <w:p w:rsidR="00D76515" w:rsidRPr="00D76515" w:rsidRDefault="009569D5" w:rsidP="004B6777">
      <w:pPr>
        <w:pStyle w:val="Default"/>
        <w:jc w:val="both"/>
        <w:rPr>
          <w:sz w:val="20"/>
        </w:rPr>
      </w:pPr>
      <w:r w:rsidRPr="00D76515">
        <w:rPr>
          <w:sz w:val="20"/>
        </w:rPr>
        <w:t>Fundusz zakłada pozyskiwanie dodatkowego finansowania.</w:t>
      </w:r>
      <w:r w:rsidR="00D76515">
        <w:rPr>
          <w:sz w:val="20"/>
        </w:rPr>
        <w:t xml:space="preserve"> </w:t>
      </w:r>
      <w:r w:rsidR="00D76515" w:rsidRPr="00D76515">
        <w:rPr>
          <w:sz w:val="20"/>
        </w:rPr>
        <w:t xml:space="preserve">W przypadku Funduszu </w:t>
      </w:r>
      <w:proofErr w:type="spellStart"/>
      <w:r w:rsidR="00D76515" w:rsidRPr="00D76515">
        <w:rPr>
          <w:sz w:val="20"/>
        </w:rPr>
        <w:t>PoP</w:t>
      </w:r>
      <w:proofErr w:type="spellEnd"/>
      <w:r w:rsidR="00D76515" w:rsidRPr="00D76515">
        <w:rPr>
          <w:sz w:val="20"/>
        </w:rPr>
        <w:t>/</w:t>
      </w:r>
      <w:proofErr w:type="spellStart"/>
      <w:r w:rsidR="00D76515" w:rsidRPr="00D76515">
        <w:rPr>
          <w:sz w:val="20"/>
        </w:rPr>
        <w:t>PoC</w:t>
      </w:r>
      <w:proofErr w:type="spellEnd"/>
      <w:r w:rsidR="00D76515" w:rsidRPr="00D76515">
        <w:rPr>
          <w:sz w:val="20"/>
        </w:rPr>
        <w:t>/</w:t>
      </w:r>
      <w:proofErr w:type="spellStart"/>
      <w:r w:rsidR="00D76515" w:rsidRPr="00D76515">
        <w:rPr>
          <w:sz w:val="20"/>
        </w:rPr>
        <w:t>Seed</w:t>
      </w:r>
      <w:proofErr w:type="spellEnd"/>
      <w:r w:rsidR="00D76515" w:rsidRPr="00D76515">
        <w:rPr>
          <w:sz w:val="20"/>
        </w:rPr>
        <w:t xml:space="preserve"> praktyką rynkową jest powoływanie nowych funduszy w celu rozbudowy portfela inwestycyjnego na rozpoznanym już terenie inwestycji wczesnego etapu, choć jest również możliwe powoływanie funduszy, które mają mandat dalszego inwestowania w „gwiazdy” pierwszego portfela. Dla Funduszu strategią pierwszego wyboru będzie rozbudowa portfela inwestycyjnego o projekty z innych uczelni i ośrodków naukowych z Polski, zatem preferowane będzie zaproszenie do grona Inwestorów tych podmiotów. Ponadto Fundusz zakłada w przyszłości pozyskiwanie finansowania od Inwestorów z sektora prywatnego, jak również emisję publiczną skierowaną do pracowników naukowych i alumnów uczelni, z którymi Fundusz współpracuje. Kolejna emisja certyfikatów inwestycyjnych w wysokości do 20 mln PLN </w:t>
      </w:r>
      <w:r w:rsidR="004B6777">
        <w:rPr>
          <w:sz w:val="20"/>
        </w:rPr>
        <w:t>planowana</w:t>
      </w:r>
      <w:r w:rsidR="00D76515" w:rsidRPr="00D76515">
        <w:rPr>
          <w:sz w:val="20"/>
        </w:rPr>
        <w:t xml:space="preserve"> jest </w:t>
      </w:r>
      <w:r w:rsidR="004B6777">
        <w:rPr>
          <w:sz w:val="20"/>
        </w:rPr>
        <w:t>ok. czwartego</w:t>
      </w:r>
      <w:r w:rsidR="00D76515" w:rsidRPr="00D76515">
        <w:rPr>
          <w:sz w:val="20"/>
        </w:rPr>
        <w:t xml:space="preserve"> roku funkcjonowania Funduszu.</w:t>
      </w:r>
    </w:p>
    <w:p w:rsidR="009569D5" w:rsidRDefault="009569D5" w:rsidP="004B6777">
      <w:pPr>
        <w:pStyle w:val="Default"/>
        <w:jc w:val="both"/>
        <w:rPr>
          <w:b/>
          <w:i/>
          <w:color w:val="000000" w:themeColor="text1"/>
          <w:sz w:val="20"/>
          <w:szCs w:val="20"/>
        </w:rPr>
      </w:pPr>
    </w:p>
    <w:p w:rsidR="00D70294" w:rsidRPr="00D62D00" w:rsidRDefault="00D70294" w:rsidP="004B6777">
      <w:pPr>
        <w:pStyle w:val="Default"/>
        <w:jc w:val="both"/>
        <w:rPr>
          <w:b/>
          <w:i/>
          <w:color w:val="000000" w:themeColor="text1"/>
          <w:sz w:val="20"/>
          <w:szCs w:val="20"/>
        </w:rPr>
      </w:pPr>
      <w:r w:rsidRPr="00D62D00">
        <w:rPr>
          <w:b/>
          <w:i/>
          <w:color w:val="000000" w:themeColor="text1"/>
          <w:sz w:val="20"/>
          <w:szCs w:val="20"/>
        </w:rPr>
        <w:t>Wielkość inwestycji:</w:t>
      </w:r>
    </w:p>
    <w:p w:rsidR="00D70294" w:rsidRPr="006D67A0" w:rsidRDefault="006D67A0" w:rsidP="004B6777">
      <w:pPr>
        <w:pStyle w:val="Default"/>
        <w:jc w:val="both"/>
        <w:rPr>
          <w:color w:val="000000" w:themeColor="text1"/>
          <w:sz w:val="20"/>
          <w:szCs w:val="20"/>
        </w:rPr>
      </w:pPr>
      <w:r w:rsidRPr="006D67A0">
        <w:rPr>
          <w:color w:val="000000" w:themeColor="text1"/>
          <w:sz w:val="20"/>
          <w:szCs w:val="20"/>
        </w:rPr>
        <w:t xml:space="preserve">Łączna wartość inwestycji Funduszu w jeden projekt to 1,25 mln PLN, z czego: 0,25 mln PLN w fazie </w:t>
      </w:r>
      <w:proofErr w:type="spellStart"/>
      <w:r w:rsidRPr="006D67A0">
        <w:rPr>
          <w:color w:val="000000" w:themeColor="text1"/>
          <w:sz w:val="20"/>
          <w:szCs w:val="20"/>
        </w:rPr>
        <w:t>PoP</w:t>
      </w:r>
      <w:proofErr w:type="spellEnd"/>
      <w:r w:rsidRPr="006D67A0">
        <w:rPr>
          <w:color w:val="000000" w:themeColor="text1"/>
          <w:sz w:val="20"/>
          <w:szCs w:val="20"/>
        </w:rPr>
        <w:t xml:space="preserve">, 0,5 mln PLN w fazie </w:t>
      </w:r>
      <w:proofErr w:type="spellStart"/>
      <w:r w:rsidRPr="006D67A0">
        <w:rPr>
          <w:color w:val="000000" w:themeColor="text1"/>
          <w:sz w:val="20"/>
          <w:szCs w:val="20"/>
        </w:rPr>
        <w:t>PoC</w:t>
      </w:r>
      <w:proofErr w:type="spellEnd"/>
      <w:r w:rsidRPr="006D67A0">
        <w:rPr>
          <w:color w:val="000000" w:themeColor="text1"/>
          <w:sz w:val="20"/>
          <w:szCs w:val="20"/>
        </w:rPr>
        <w:t xml:space="preserve"> i 0,5 mln PLN w fazie </w:t>
      </w:r>
      <w:proofErr w:type="spellStart"/>
      <w:r w:rsidRPr="006D67A0">
        <w:rPr>
          <w:color w:val="000000" w:themeColor="text1"/>
          <w:sz w:val="20"/>
          <w:szCs w:val="20"/>
        </w:rPr>
        <w:t>Seed</w:t>
      </w:r>
      <w:proofErr w:type="spellEnd"/>
      <w:r w:rsidRPr="006D67A0">
        <w:rPr>
          <w:color w:val="000000" w:themeColor="text1"/>
          <w:sz w:val="20"/>
          <w:szCs w:val="20"/>
        </w:rPr>
        <w:t xml:space="preserve">. Od fazy </w:t>
      </w:r>
      <w:proofErr w:type="spellStart"/>
      <w:r w:rsidRPr="006D67A0">
        <w:rPr>
          <w:color w:val="000000" w:themeColor="text1"/>
          <w:sz w:val="20"/>
          <w:szCs w:val="20"/>
        </w:rPr>
        <w:t>Seed</w:t>
      </w:r>
      <w:proofErr w:type="spellEnd"/>
      <w:r w:rsidRPr="006D67A0">
        <w:rPr>
          <w:color w:val="000000" w:themeColor="text1"/>
          <w:sz w:val="20"/>
          <w:szCs w:val="20"/>
        </w:rPr>
        <w:t xml:space="preserve"> Fundusz będzie pozyskiwał środki dla każdego projektu od </w:t>
      </w:r>
      <w:proofErr w:type="spellStart"/>
      <w:r w:rsidRPr="006D67A0">
        <w:rPr>
          <w:color w:val="000000" w:themeColor="text1"/>
          <w:sz w:val="20"/>
          <w:szCs w:val="20"/>
        </w:rPr>
        <w:t>koinwestorów</w:t>
      </w:r>
      <w:proofErr w:type="spellEnd"/>
      <w:r w:rsidRPr="006D67A0">
        <w:rPr>
          <w:color w:val="000000" w:themeColor="text1"/>
          <w:sz w:val="20"/>
          <w:szCs w:val="20"/>
        </w:rPr>
        <w:t xml:space="preserve"> w łącznej wysokości 16 mln PLN z czego: 1 mln PLN w fazie </w:t>
      </w:r>
      <w:proofErr w:type="spellStart"/>
      <w:r w:rsidRPr="006D67A0">
        <w:rPr>
          <w:color w:val="000000" w:themeColor="text1"/>
          <w:sz w:val="20"/>
          <w:szCs w:val="20"/>
        </w:rPr>
        <w:t>Seed</w:t>
      </w:r>
      <w:proofErr w:type="spellEnd"/>
      <w:r w:rsidRPr="006D67A0">
        <w:rPr>
          <w:color w:val="000000" w:themeColor="text1"/>
          <w:sz w:val="20"/>
          <w:szCs w:val="20"/>
        </w:rPr>
        <w:t xml:space="preserve">, 5 mln PLN w fazie </w:t>
      </w:r>
      <w:proofErr w:type="spellStart"/>
      <w:r w:rsidRPr="006D67A0">
        <w:rPr>
          <w:color w:val="000000" w:themeColor="text1"/>
          <w:sz w:val="20"/>
          <w:szCs w:val="20"/>
        </w:rPr>
        <w:t>Growth</w:t>
      </w:r>
      <w:proofErr w:type="spellEnd"/>
      <w:r w:rsidRPr="006D67A0">
        <w:rPr>
          <w:color w:val="000000" w:themeColor="text1"/>
          <w:sz w:val="20"/>
          <w:szCs w:val="20"/>
        </w:rPr>
        <w:t xml:space="preserve"> i 10 mln PLN w fazie Expansion. Inwestycja Funduszu w jeden projekt łącznie z inwestycją </w:t>
      </w:r>
      <w:proofErr w:type="spellStart"/>
      <w:r w:rsidRPr="006D67A0">
        <w:rPr>
          <w:color w:val="000000" w:themeColor="text1"/>
          <w:sz w:val="20"/>
          <w:szCs w:val="20"/>
        </w:rPr>
        <w:t>koinwestorów</w:t>
      </w:r>
      <w:proofErr w:type="spellEnd"/>
      <w:r w:rsidRPr="006D67A0">
        <w:rPr>
          <w:color w:val="000000" w:themeColor="text1"/>
          <w:sz w:val="20"/>
          <w:szCs w:val="20"/>
        </w:rPr>
        <w:t xml:space="preserve"> wyniesie 17,25 mln PLN.</w:t>
      </w:r>
    </w:p>
    <w:p w:rsidR="00D70294" w:rsidRPr="00D62D00" w:rsidRDefault="00D70294" w:rsidP="004B6777">
      <w:pPr>
        <w:pStyle w:val="Default"/>
        <w:jc w:val="both"/>
        <w:rPr>
          <w:color w:val="000000" w:themeColor="text1"/>
          <w:sz w:val="20"/>
          <w:szCs w:val="20"/>
        </w:rPr>
      </w:pPr>
    </w:p>
    <w:p w:rsidR="00BA241F" w:rsidRPr="00D76515" w:rsidRDefault="00D70294" w:rsidP="004B677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D76515">
        <w:rPr>
          <w:rFonts w:ascii="Arial" w:hAnsi="Arial" w:cs="Arial"/>
          <w:b/>
          <w:i/>
          <w:sz w:val="20"/>
          <w:szCs w:val="20"/>
        </w:rPr>
        <w:t>Portfel inwestycji:</w:t>
      </w:r>
    </w:p>
    <w:p w:rsidR="00BA241F" w:rsidRPr="00D76515" w:rsidRDefault="00D70294" w:rsidP="004B6777">
      <w:pPr>
        <w:spacing w:after="0" w:line="240" w:lineRule="auto"/>
        <w:ind w:firstLine="24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>Działalność inwestycyjną Fundu</w:t>
      </w:r>
      <w:r w:rsidR="00797689" w:rsidRPr="00D76515">
        <w:rPr>
          <w:rFonts w:ascii="Arial" w:hAnsi="Arial" w:cs="Arial"/>
          <w:sz w:val="20"/>
          <w:szCs w:val="20"/>
        </w:rPr>
        <w:t>szu podzielono na trzy portfele</w:t>
      </w:r>
      <w:r w:rsidRPr="00D76515">
        <w:rPr>
          <w:rFonts w:ascii="Arial" w:hAnsi="Arial" w:cs="Arial"/>
          <w:sz w:val="20"/>
          <w:szCs w:val="20"/>
        </w:rPr>
        <w:t>.</w:t>
      </w:r>
    </w:p>
    <w:p w:rsidR="00797689" w:rsidRPr="00D76515" w:rsidRDefault="00797689" w:rsidP="004B6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41F" w:rsidRPr="00D76515" w:rsidRDefault="00D70294" w:rsidP="004B6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>Wskaźniki selekcji (prawdopodobieństwa przejścia do kolejnej fazy):</w:t>
      </w:r>
    </w:p>
    <w:p w:rsidR="00D76515" w:rsidRPr="00D76515" w:rsidRDefault="00D76515" w:rsidP="004B6777">
      <w:pPr>
        <w:pStyle w:val="Akapitzlist"/>
        <w:numPr>
          <w:ilvl w:val="1"/>
          <w:numId w:val="27"/>
        </w:numPr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proofErr w:type="spellStart"/>
      <w:r w:rsidRPr="00D76515">
        <w:rPr>
          <w:rFonts w:ascii="Arial" w:hAnsi="Arial" w:cs="Arial"/>
          <w:i/>
          <w:sz w:val="20"/>
          <w:szCs w:val="24"/>
        </w:rPr>
        <w:t>Dealflow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/DF/– dla każdego portfela przyjęto wielkość 50 projektów analizowanych przez Fundusz</w:t>
      </w:r>
    </w:p>
    <w:p w:rsidR="00D76515" w:rsidRPr="00D76515" w:rsidRDefault="00D76515" w:rsidP="004B6777">
      <w:pPr>
        <w:pStyle w:val="Akapitzlist"/>
        <w:numPr>
          <w:ilvl w:val="1"/>
          <w:numId w:val="27"/>
        </w:numPr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D76515">
        <w:rPr>
          <w:rFonts w:ascii="Arial" w:hAnsi="Arial" w:cs="Arial"/>
          <w:sz w:val="20"/>
          <w:szCs w:val="24"/>
        </w:rPr>
        <w:t xml:space="preserve">DF -&gt; </w:t>
      </w:r>
      <w:proofErr w:type="spellStart"/>
      <w:r w:rsidRPr="00D76515">
        <w:rPr>
          <w:rFonts w:ascii="Arial" w:hAnsi="Arial" w:cs="Arial"/>
          <w:sz w:val="20"/>
          <w:szCs w:val="24"/>
        </w:rPr>
        <w:t>PoP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- wskaźnik 12% - w fazie </w:t>
      </w:r>
      <w:proofErr w:type="spellStart"/>
      <w:r w:rsidRPr="00D76515">
        <w:rPr>
          <w:rFonts w:ascii="Arial" w:hAnsi="Arial" w:cs="Arial"/>
          <w:sz w:val="20"/>
          <w:szCs w:val="24"/>
        </w:rPr>
        <w:t>PoP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6 projektów/spółek</w:t>
      </w:r>
    </w:p>
    <w:p w:rsidR="00D76515" w:rsidRPr="00D76515" w:rsidRDefault="00D76515" w:rsidP="004B6777">
      <w:pPr>
        <w:pStyle w:val="Akapitzlist"/>
        <w:numPr>
          <w:ilvl w:val="1"/>
          <w:numId w:val="27"/>
        </w:numPr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proofErr w:type="spellStart"/>
      <w:r w:rsidRPr="00D76515">
        <w:rPr>
          <w:rFonts w:ascii="Arial" w:hAnsi="Arial" w:cs="Arial"/>
          <w:sz w:val="20"/>
          <w:szCs w:val="24"/>
        </w:rPr>
        <w:lastRenderedPageBreak/>
        <w:t>PoP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-&gt; </w:t>
      </w:r>
      <w:proofErr w:type="spellStart"/>
      <w:r w:rsidRPr="00D76515">
        <w:rPr>
          <w:rFonts w:ascii="Arial" w:hAnsi="Arial" w:cs="Arial"/>
          <w:sz w:val="20"/>
          <w:szCs w:val="24"/>
        </w:rPr>
        <w:t>PoC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– wskaźnik 50% - w fazie </w:t>
      </w:r>
      <w:proofErr w:type="spellStart"/>
      <w:r w:rsidRPr="00D76515">
        <w:rPr>
          <w:rFonts w:ascii="Arial" w:hAnsi="Arial" w:cs="Arial"/>
          <w:sz w:val="20"/>
          <w:szCs w:val="24"/>
        </w:rPr>
        <w:t>PoC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3 projekty/spółki</w:t>
      </w:r>
    </w:p>
    <w:p w:rsidR="00D76515" w:rsidRPr="00D76515" w:rsidRDefault="00D76515" w:rsidP="004B6777">
      <w:pPr>
        <w:pStyle w:val="Akapitzlist"/>
        <w:numPr>
          <w:ilvl w:val="1"/>
          <w:numId w:val="27"/>
        </w:numPr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proofErr w:type="spellStart"/>
      <w:r w:rsidRPr="00D76515">
        <w:rPr>
          <w:rFonts w:ascii="Arial" w:hAnsi="Arial" w:cs="Arial"/>
          <w:sz w:val="20"/>
          <w:szCs w:val="24"/>
        </w:rPr>
        <w:t>PoC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-&gt; </w:t>
      </w:r>
      <w:proofErr w:type="spellStart"/>
      <w:r w:rsidRPr="00D76515">
        <w:rPr>
          <w:rFonts w:ascii="Arial" w:hAnsi="Arial" w:cs="Arial"/>
          <w:sz w:val="20"/>
          <w:szCs w:val="24"/>
        </w:rPr>
        <w:t>Seed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– wskaźnik 75% - w fazie </w:t>
      </w:r>
      <w:proofErr w:type="spellStart"/>
      <w:r w:rsidRPr="00D76515">
        <w:rPr>
          <w:rFonts w:ascii="Arial" w:hAnsi="Arial" w:cs="Arial"/>
          <w:sz w:val="20"/>
          <w:szCs w:val="24"/>
        </w:rPr>
        <w:t>Seed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2 spółki</w:t>
      </w:r>
    </w:p>
    <w:p w:rsidR="00D76515" w:rsidRPr="00D76515" w:rsidRDefault="00D76515" w:rsidP="004B6777">
      <w:pPr>
        <w:pStyle w:val="Akapitzlist"/>
        <w:numPr>
          <w:ilvl w:val="1"/>
          <w:numId w:val="27"/>
        </w:numPr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proofErr w:type="spellStart"/>
      <w:r w:rsidRPr="00D76515">
        <w:rPr>
          <w:rFonts w:ascii="Arial" w:hAnsi="Arial" w:cs="Arial"/>
          <w:sz w:val="20"/>
          <w:szCs w:val="24"/>
        </w:rPr>
        <w:t>Seed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-&gt; </w:t>
      </w:r>
      <w:proofErr w:type="spellStart"/>
      <w:r w:rsidRPr="00D76515">
        <w:rPr>
          <w:rFonts w:ascii="Arial" w:hAnsi="Arial" w:cs="Arial"/>
          <w:sz w:val="20"/>
          <w:szCs w:val="24"/>
        </w:rPr>
        <w:t>Growth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– wskaźnik 80% – w fazie </w:t>
      </w:r>
      <w:proofErr w:type="spellStart"/>
      <w:r w:rsidRPr="00D76515">
        <w:rPr>
          <w:rFonts w:ascii="Arial" w:hAnsi="Arial" w:cs="Arial"/>
          <w:sz w:val="20"/>
          <w:szCs w:val="24"/>
        </w:rPr>
        <w:t>Growth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2 spółki</w:t>
      </w:r>
    </w:p>
    <w:p w:rsidR="00D76515" w:rsidRPr="00D76515" w:rsidRDefault="00D76515" w:rsidP="004B6777">
      <w:pPr>
        <w:pStyle w:val="Akapitzlist"/>
        <w:numPr>
          <w:ilvl w:val="1"/>
          <w:numId w:val="27"/>
        </w:numPr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proofErr w:type="spellStart"/>
      <w:r w:rsidRPr="00D76515">
        <w:rPr>
          <w:rFonts w:ascii="Arial" w:hAnsi="Arial" w:cs="Arial"/>
          <w:sz w:val="20"/>
          <w:szCs w:val="24"/>
        </w:rPr>
        <w:t>Growth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- &gt; Expansion – wskaźnik 90% - w fazie Expansion 1 spółka</w:t>
      </w:r>
    </w:p>
    <w:p w:rsidR="00D76515" w:rsidRPr="00D76515" w:rsidRDefault="00D76515" w:rsidP="004B6777">
      <w:pPr>
        <w:pStyle w:val="Akapitzlist"/>
        <w:numPr>
          <w:ilvl w:val="1"/>
          <w:numId w:val="27"/>
        </w:numPr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D76515">
        <w:rPr>
          <w:rFonts w:ascii="Arial" w:hAnsi="Arial" w:cs="Arial"/>
          <w:sz w:val="20"/>
          <w:szCs w:val="24"/>
        </w:rPr>
        <w:t xml:space="preserve">Expansion - &gt; </w:t>
      </w:r>
      <w:proofErr w:type="spellStart"/>
      <w:r w:rsidRPr="00D76515">
        <w:rPr>
          <w:rFonts w:ascii="Arial" w:hAnsi="Arial" w:cs="Arial"/>
          <w:sz w:val="20"/>
          <w:szCs w:val="24"/>
        </w:rPr>
        <w:t>Exit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– wskaźnik 90% - w fazie </w:t>
      </w:r>
      <w:proofErr w:type="spellStart"/>
      <w:r w:rsidRPr="00D76515">
        <w:rPr>
          <w:rFonts w:ascii="Arial" w:hAnsi="Arial" w:cs="Arial"/>
          <w:sz w:val="20"/>
          <w:szCs w:val="24"/>
        </w:rPr>
        <w:t>Exit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1 spółka</w:t>
      </w:r>
    </w:p>
    <w:p w:rsidR="00BA241F" w:rsidRPr="00D76515" w:rsidRDefault="00BA241F" w:rsidP="004B6777">
      <w:pPr>
        <w:spacing w:after="0" w:line="240" w:lineRule="auto"/>
        <w:jc w:val="both"/>
        <w:rPr>
          <w:rFonts w:ascii="Arial" w:hAnsi="Arial" w:cs="Arial"/>
          <w:sz w:val="16"/>
          <w:szCs w:val="20"/>
          <w:highlight w:val="yellow"/>
        </w:rPr>
      </w:pPr>
    </w:p>
    <w:p w:rsidR="00BA241F" w:rsidRPr="00D76515" w:rsidRDefault="00D76515" w:rsidP="004B6777">
      <w:pPr>
        <w:spacing w:after="0" w:line="240" w:lineRule="auto"/>
        <w:jc w:val="both"/>
        <w:rPr>
          <w:rFonts w:ascii="Arial" w:hAnsi="Arial" w:cs="Arial"/>
          <w:sz w:val="16"/>
          <w:szCs w:val="20"/>
          <w:highlight w:val="yellow"/>
        </w:rPr>
      </w:pPr>
      <w:r w:rsidRPr="00D76515">
        <w:rPr>
          <w:rFonts w:ascii="Arial" w:hAnsi="Arial" w:cs="Arial"/>
          <w:sz w:val="20"/>
          <w:szCs w:val="24"/>
        </w:rPr>
        <w:t xml:space="preserve">Łącznie dla wszystkich trzech portfeli w fazie </w:t>
      </w:r>
      <w:proofErr w:type="spellStart"/>
      <w:r w:rsidRPr="00D76515">
        <w:rPr>
          <w:rFonts w:ascii="Arial" w:hAnsi="Arial" w:cs="Arial"/>
          <w:sz w:val="20"/>
          <w:szCs w:val="24"/>
        </w:rPr>
        <w:t>PoP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znajdzie się 18 projektów/spółek, w fazie </w:t>
      </w:r>
      <w:proofErr w:type="spellStart"/>
      <w:r w:rsidRPr="00D76515">
        <w:rPr>
          <w:rFonts w:ascii="Arial" w:hAnsi="Arial" w:cs="Arial"/>
          <w:sz w:val="20"/>
          <w:szCs w:val="24"/>
        </w:rPr>
        <w:t>PoC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9 spółek, w fazie </w:t>
      </w:r>
      <w:proofErr w:type="spellStart"/>
      <w:r w:rsidRPr="00D76515">
        <w:rPr>
          <w:rFonts w:ascii="Arial" w:hAnsi="Arial" w:cs="Arial"/>
          <w:sz w:val="20"/>
          <w:szCs w:val="24"/>
        </w:rPr>
        <w:t>Seed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6 spółek, w fazie </w:t>
      </w:r>
      <w:proofErr w:type="spellStart"/>
      <w:r w:rsidRPr="00D76515">
        <w:rPr>
          <w:rFonts w:ascii="Arial" w:hAnsi="Arial" w:cs="Arial"/>
          <w:sz w:val="20"/>
          <w:szCs w:val="24"/>
        </w:rPr>
        <w:t>Growth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6 spółek, w fazie Expansion – 3 spółki i w fazie </w:t>
      </w:r>
      <w:proofErr w:type="spellStart"/>
      <w:r w:rsidRPr="00D76515">
        <w:rPr>
          <w:rFonts w:ascii="Arial" w:hAnsi="Arial" w:cs="Arial"/>
          <w:sz w:val="20"/>
          <w:szCs w:val="24"/>
        </w:rPr>
        <w:t>Exit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– 3 spółki.</w:t>
      </w:r>
      <w:r w:rsidR="00D70294" w:rsidRPr="00D76515">
        <w:rPr>
          <w:rFonts w:ascii="Arial" w:hAnsi="Arial" w:cs="Arial"/>
          <w:sz w:val="16"/>
          <w:szCs w:val="20"/>
          <w:highlight w:val="yellow"/>
        </w:rPr>
        <w:t xml:space="preserve"> </w:t>
      </w:r>
    </w:p>
    <w:p w:rsidR="004B6777" w:rsidRDefault="004B6777" w:rsidP="004B677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A241F" w:rsidRPr="00D76515" w:rsidRDefault="00D70294" w:rsidP="004B677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>Wielkości jednostkowych inwestycji Funduszu:</w:t>
      </w:r>
    </w:p>
    <w:p w:rsidR="00BA241F" w:rsidRPr="00D76515" w:rsidRDefault="00D70294" w:rsidP="004B6777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 xml:space="preserve">w fazie </w:t>
      </w:r>
      <w:proofErr w:type="spellStart"/>
      <w:r w:rsidRPr="00D76515">
        <w:rPr>
          <w:rFonts w:ascii="Arial" w:hAnsi="Arial" w:cs="Arial"/>
          <w:sz w:val="20"/>
          <w:szCs w:val="20"/>
        </w:rPr>
        <w:t>PoP</w:t>
      </w:r>
      <w:proofErr w:type="spellEnd"/>
      <w:r w:rsidRPr="00D76515">
        <w:rPr>
          <w:rFonts w:ascii="Arial" w:hAnsi="Arial" w:cs="Arial"/>
          <w:sz w:val="20"/>
          <w:szCs w:val="20"/>
        </w:rPr>
        <w:t xml:space="preserve"> </w:t>
      </w:r>
      <w:r w:rsidRPr="00D76515">
        <w:rPr>
          <w:rFonts w:ascii="Arial" w:hAnsi="Arial" w:cs="Arial"/>
          <w:sz w:val="20"/>
          <w:szCs w:val="20"/>
        </w:rPr>
        <w:tab/>
      </w:r>
      <w:r w:rsidRPr="00D76515">
        <w:rPr>
          <w:rFonts w:ascii="Arial" w:hAnsi="Arial" w:cs="Arial"/>
          <w:sz w:val="20"/>
          <w:szCs w:val="20"/>
        </w:rPr>
        <w:tab/>
        <w:t>- 250 tys. PLN/projekt</w:t>
      </w:r>
    </w:p>
    <w:p w:rsidR="00BA241F" w:rsidRPr="00D76515" w:rsidRDefault="00D70294" w:rsidP="004B6777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 xml:space="preserve">w fazie </w:t>
      </w:r>
      <w:proofErr w:type="spellStart"/>
      <w:r w:rsidRPr="00D76515">
        <w:rPr>
          <w:rFonts w:ascii="Arial" w:hAnsi="Arial" w:cs="Arial"/>
          <w:sz w:val="20"/>
          <w:szCs w:val="20"/>
        </w:rPr>
        <w:t>PoC</w:t>
      </w:r>
      <w:proofErr w:type="spellEnd"/>
      <w:r w:rsidRPr="00D76515">
        <w:rPr>
          <w:rFonts w:ascii="Arial" w:hAnsi="Arial" w:cs="Arial"/>
          <w:sz w:val="20"/>
          <w:szCs w:val="20"/>
        </w:rPr>
        <w:t xml:space="preserve"> </w:t>
      </w:r>
      <w:r w:rsidRPr="00D76515">
        <w:rPr>
          <w:rFonts w:ascii="Arial" w:hAnsi="Arial" w:cs="Arial"/>
          <w:sz w:val="20"/>
          <w:szCs w:val="20"/>
        </w:rPr>
        <w:tab/>
      </w:r>
      <w:r w:rsidRPr="00D76515">
        <w:rPr>
          <w:rFonts w:ascii="Arial" w:hAnsi="Arial" w:cs="Arial"/>
          <w:sz w:val="20"/>
          <w:szCs w:val="20"/>
        </w:rPr>
        <w:tab/>
        <w:t>- 500 tys. PLN/projekt</w:t>
      </w:r>
    </w:p>
    <w:p w:rsidR="00BA241F" w:rsidRPr="00D76515" w:rsidRDefault="00D70294" w:rsidP="004B6777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 xml:space="preserve">w fazie </w:t>
      </w:r>
      <w:proofErr w:type="spellStart"/>
      <w:r w:rsidRPr="00D76515">
        <w:rPr>
          <w:rFonts w:ascii="Arial" w:hAnsi="Arial" w:cs="Arial"/>
          <w:sz w:val="20"/>
          <w:szCs w:val="20"/>
        </w:rPr>
        <w:t>Seed</w:t>
      </w:r>
      <w:proofErr w:type="spellEnd"/>
      <w:r w:rsidRPr="00D76515">
        <w:rPr>
          <w:rFonts w:ascii="Arial" w:hAnsi="Arial" w:cs="Arial"/>
          <w:sz w:val="20"/>
          <w:szCs w:val="20"/>
        </w:rPr>
        <w:t xml:space="preserve"> </w:t>
      </w:r>
      <w:r w:rsidRPr="00D76515">
        <w:rPr>
          <w:rFonts w:ascii="Arial" w:hAnsi="Arial" w:cs="Arial"/>
          <w:sz w:val="20"/>
          <w:szCs w:val="20"/>
        </w:rPr>
        <w:tab/>
      </w:r>
      <w:r w:rsidRPr="00D76515">
        <w:rPr>
          <w:rFonts w:ascii="Arial" w:hAnsi="Arial" w:cs="Arial"/>
          <w:sz w:val="20"/>
          <w:szCs w:val="20"/>
        </w:rPr>
        <w:tab/>
        <w:t>- 500 tys. PLN/projekt</w:t>
      </w:r>
    </w:p>
    <w:p w:rsidR="00BA241F" w:rsidRPr="00D76515" w:rsidRDefault="00D70294" w:rsidP="004B67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 xml:space="preserve">Łączna wartość inwestycji Funduszu w fazie </w:t>
      </w:r>
      <w:proofErr w:type="spellStart"/>
      <w:r w:rsidRPr="00D76515">
        <w:rPr>
          <w:rFonts w:ascii="Arial" w:hAnsi="Arial" w:cs="Arial"/>
          <w:sz w:val="20"/>
          <w:szCs w:val="20"/>
        </w:rPr>
        <w:t>Pre-Seed</w:t>
      </w:r>
      <w:proofErr w:type="spellEnd"/>
      <w:r w:rsidRPr="00D7651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76515">
        <w:rPr>
          <w:rFonts w:ascii="Arial" w:hAnsi="Arial" w:cs="Arial"/>
          <w:sz w:val="20"/>
          <w:szCs w:val="20"/>
        </w:rPr>
        <w:t>Seed</w:t>
      </w:r>
      <w:proofErr w:type="spellEnd"/>
      <w:r w:rsidRPr="00D76515">
        <w:rPr>
          <w:rFonts w:ascii="Arial" w:hAnsi="Arial" w:cs="Arial"/>
          <w:sz w:val="20"/>
          <w:szCs w:val="20"/>
        </w:rPr>
        <w:t xml:space="preserve"> to 1,25 mln PLN.</w:t>
      </w:r>
      <w:r w:rsidRPr="00D76515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BA241F" w:rsidRPr="00D76515" w:rsidRDefault="00D70294" w:rsidP="004B677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 xml:space="preserve">Wielkości jednostkowych inwestycji </w:t>
      </w:r>
      <w:proofErr w:type="spellStart"/>
      <w:r w:rsidRPr="00D76515">
        <w:rPr>
          <w:rFonts w:ascii="Arial" w:hAnsi="Arial" w:cs="Arial"/>
          <w:sz w:val="20"/>
          <w:szCs w:val="20"/>
        </w:rPr>
        <w:t>Koinwestorów</w:t>
      </w:r>
      <w:proofErr w:type="spellEnd"/>
      <w:r w:rsidRPr="00D76515">
        <w:rPr>
          <w:rFonts w:ascii="Arial" w:hAnsi="Arial" w:cs="Arial"/>
          <w:sz w:val="20"/>
          <w:szCs w:val="20"/>
        </w:rPr>
        <w:t>:</w:t>
      </w:r>
    </w:p>
    <w:p w:rsidR="00BA241F" w:rsidRPr="00D76515" w:rsidRDefault="00D70294" w:rsidP="004B6777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 xml:space="preserve">w fazie </w:t>
      </w:r>
      <w:proofErr w:type="spellStart"/>
      <w:r w:rsidRPr="00D76515">
        <w:rPr>
          <w:rFonts w:ascii="Arial" w:hAnsi="Arial" w:cs="Arial"/>
          <w:sz w:val="20"/>
          <w:szCs w:val="20"/>
        </w:rPr>
        <w:t>Seed</w:t>
      </w:r>
      <w:proofErr w:type="spellEnd"/>
      <w:r w:rsidRPr="00D76515">
        <w:rPr>
          <w:rFonts w:ascii="Arial" w:hAnsi="Arial" w:cs="Arial"/>
          <w:sz w:val="20"/>
          <w:szCs w:val="20"/>
        </w:rPr>
        <w:t xml:space="preserve"> </w:t>
      </w:r>
      <w:r w:rsidRPr="00D76515">
        <w:rPr>
          <w:rFonts w:ascii="Arial" w:hAnsi="Arial" w:cs="Arial"/>
          <w:sz w:val="20"/>
          <w:szCs w:val="20"/>
        </w:rPr>
        <w:tab/>
      </w:r>
      <w:r w:rsidRPr="00D76515">
        <w:rPr>
          <w:rFonts w:ascii="Arial" w:hAnsi="Arial" w:cs="Arial"/>
          <w:sz w:val="20"/>
          <w:szCs w:val="20"/>
        </w:rPr>
        <w:tab/>
        <w:t>– 1,0 mln PLN/projekt</w:t>
      </w:r>
    </w:p>
    <w:p w:rsidR="00BA241F" w:rsidRPr="00D76515" w:rsidRDefault="00D70294" w:rsidP="004B6777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 xml:space="preserve">w fazie </w:t>
      </w:r>
      <w:proofErr w:type="spellStart"/>
      <w:r w:rsidRPr="00D76515">
        <w:rPr>
          <w:rFonts w:ascii="Arial" w:hAnsi="Arial" w:cs="Arial"/>
          <w:sz w:val="20"/>
          <w:szCs w:val="20"/>
        </w:rPr>
        <w:t>Growth</w:t>
      </w:r>
      <w:proofErr w:type="spellEnd"/>
      <w:r w:rsidRPr="00D76515">
        <w:rPr>
          <w:rFonts w:ascii="Arial" w:hAnsi="Arial" w:cs="Arial"/>
          <w:sz w:val="20"/>
          <w:szCs w:val="20"/>
        </w:rPr>
        <w:t xml:space="preserve"> </w:t>
      </w:r>
      <w:r w:rsidRPr="00D76515">
        <w:rPr>
          <w:rFonts w:ascii="Arial" w:hAnsi="Arial" w:cs="Arial"/>
          <w:sz w:val="20"/>
          <w:szCs w:val="20"/>
        </w:rPr>
        <w:tab/>
      </w:r>
      <w:r w:rsidRPr="00D76515">
        <w:rPr>
          <w:rFonts w:ascii="Arial" w:hAnsi="Arial" w:cs="Arial"/>
          <w:sz w:val="20"/>
          <w:szCs w:val="20"/>
        </w:rPr>
        <w:tab/>
        <w:t>– 5,0 mln PLN/projekt</w:t>
      </w:r>
    </w:p>
    <w:p w:rsidR="00BA241F" w:rsidRPr="00D76515" w:rsidRDefault="00D70294" w:rsidP="004B6777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 xml:space="preserve">w fazie Expansion </w:t>
      </w:r>
      <w:r w:rsidRPr="00D76515">
        <w:rPr>
          <w:rFonts w:ascii="Arial" w:hAnsi="Arial" w:cs="Arial"/>
          <w:sz w:val="20"/>
          <w:szCs w:val="20"/>
        </w:rPr>
        <w:tab/>
        <w:t>– 10,0 mln PLN/projekt</w:t>
      </w:r>
    </w:p>
    <w:p w:rsidR="004B6777" w:rsidRDefault="004B6777" w:rsidP="004B677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A241F" w:rsidRPr="00D76515" w:rsidRDefault="00D76515" w:rsidP="004B6777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D76515">
        <w:rPr>
          <w:rFonts w:ascii="Arial" w:hAnsi="Arial" w:cs="Arial"/>
          <w:sz w:val="20"/>
          <w:szCs w:val="24"/>
        </w:rPr>
        <w:t xml:space="preserve">Łączna wielkość inwestycji Funduszu i </w:t>
      </w:r>
      <w:proofErr w:type="spellStart"/>
      <w:r w:rsidRPr="00D76515">
        <w:rPr>
          <w:rFonts w:ascii="Arial" w:hAnsi="Arial" w:cs="Arial"/>
          <w:sz w:val="20"/>
          <w:szCs w:val="24"/>
        </w:rPr>
        <w:t>koinwestorów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w 1 projekt od fazy </w:t>
      </w:r>
      <w:proofErr w:type="spellStart"/>
      <w:r w:rsidRPr="00D76515">
        <w:rPr>
          <w:rFonts w:ascii="Arial" w:hAnsi="Arial" w:cs="Arial"/>
          <w:sz w:val="20"/>
          <w:szCs w:val="24"/>
        </w:rPr>
        <w:t>PoP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do fazy Expansion wyniesie 17,25 mln PLN (ca 4,2 mln EUR). Przeciętna wartość inwestycji Funduszu i </w:t>
      </w:r>
      <w:proofErr w:type="spellStart"/>
      <w:r w:rsidRPr="00D76515">
        <w:rPr>
          <w:rFonts w:ascii="Arial" w:hAnsi="Arial" w:cs="Arial"/>
          <w:sz w:val="20"/>
          <w:szCs w:val="24"/>
        </w:rPr>
        <w:t>koinwestorów</w:t>
      </w:r>
      <w:proofErr w:type="spellEnd"/>
      <w:r w:rsidRPr="00D76515">
        <w:rPr>
          <w:rFonts w:ascii="Arial" w:hAnsi="Arial" w:cs="Arial"/>
          <w:sz w:val="20"/>
          <w:szCs w:val="24"/>
        </w:rPr>
        <w:t xml:space="preserve"> rozliczona na spółki portfelowe (od fazy </w:t>
      </w:r>
      <w:proofErr w:type="spellStart"/>
      <w:r w:rsidRPr="00D76515">
        <w:rPr>
          <w:rFonts w:ascii="Arial" w:hAnsi="Arial" w:cs="Arial"/>
          <w:sz w:val="20"/>
          <w:szCs w:val="24"/>
        </w:rPr>
        <w:t>Seed</w:t>
      </w:r>
      <w:proofErr w:type="spellEnd"/>
      <w:r w:rsidRPr="00D76515">
        <w:rPr>
          <w:rFonts w:ascii="Arial" w:hAnsi="Arial" w:cs="Arial"/>
          <w:sz w:val="20"/>
          <w:szCs w:val="24"/>
        </w:rPr>
        <w:t>) wyniesie 11,75 mln PLN tj. ok. 2,8 mln EUR</w:t>
      </w:r>
      <w:r w:rsidRPr="00D76515">
        <w:rPr>
          <w:rFonts w:ascii="Arial" w:hAnsi="Arial" w:cs="Arial"/>
          <w:sz w:val="16"/>
          <w:szCs w:val="20"/>
        </w:rPr>
        <w:t>.</w:t>
      </w:r>
    </w:p>
    <w:p w:rsidR="003B3023" w:rsidRPr="006D67A0" w:rsidRDefault="003B3023" w:rsidP="004B677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BA241F" w:rsidRPr="00D76515" w:rsidRDefault="00D70294" w:rsidP="004B677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6515">
        <w:rPr>
          <w:rFonts w:ascii="Arial" w:hAnsi="Arial" w:cs="Arial"/>
          <w:b/>
          <w:i/>
          <w:sz w:val="20"/>
          <w:szCs w:val="20"/>
        </w:rPr>
        <w:t xml:space="preserve">Wielkość </w:t>
      </w:r>
      <w:r w:rsidR="004845DE" w:rsidRPr="00D76515">
        <w:rPr>
          <w:rFonts w:ascii="Arial" w:hAnsi="Arial" w:cs="Arial"/>
          <w:b/>
          <w:i/>
          <w:sz w:val="20"/>
          <w:szCs w:val="20"/>
        </w:rPr>
        <w:t xml:space="preserve">początkowej </w:t>
      </w:r>
      <w:r w:rsidR="009569D5" w:rsidRPr="00D76515">
        <w:rPr>
          <w:rFonts w:ascii="Arial" w:hAnsi="Arial" w:cs="Arial"/>
          <w:b/>
          <w:i/>
          <w:sz w:val="20"/>
          <w:szCs w:val="20"/>
        </w:rPr>
        <w:t>kapitalizacji Funduszu:</w:t>
      </w:r>
    </w:p>
    <w:p w:rsidR="00BA241F" w:rsidRPr="00D76515" w:rsidRDefault="00D70294" w:rsidP="004B6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 xml:space="preserve">Wielkość </w:t>
      </w:r>
      <w:r w:rsidR="004845DE" w:rsidRPr="00D76515">
        <w:rPr>
          <w:rFonts w:ascii="Arial" w:hAnsi="Arial" w:cs="Arial"/>
          <w:sz w:val="20"/>
          <w:szCs w:val="20"/>
        </w:rPr>
        <w:t xml:space="preserve">początkowej </w:t>
      </w:r>
      <w:r w:rsidRPr="00D76515">
        <w:rPr>
          <w:rFonts w:ascii="Arial" w:hAnsi="Arial" w:cs="Arial"/>
          <w:sz w:val="20"/>
          <w:szCs w:val="20"/>
        </w:rPr>
        <w:t>kapi</w:t>
      </w:r>
      <w:r w:rsidR="00426186" w:rsidRPr="00D76515">
        <w:rPr>
          <w:rFonts w:ascii="Arial" w:hAnsi="Arial" w:cs="Arial"/>
          <w:sz w:val="20"/>
          <w:szCs w:val="20"/>
        </w:rPr>
        <w:t xml:space="preserve">talizacji </w:t>
      </w:r>
      <w:r w:rsidR="004845DE" w:rsidRPr="00D76515">
        <w:rPr>
          <w:rFonts w:ascii="Arial" w:hAnsi="Arial" w:cs="Arial"/>
          <w:sz w:val="20"/>
          <w:szCs w:val="20"/>
        </w:rPr>
        <w:t xml:space="preserve">przewidywana jest na około </w:t>
      </w:r>
      <w:r w:rsidR="00426186" w:rsidRPr="00D76515">
        <w:rPr>
          <w:rFonts w:ascii="Arial" w:hAnsi="Arial" w:cs="Arial"/>
          <w:sz w:val="20"/>
          <w:szCs w:val="20"/>
        </w:rPr>
        <w:t>2</w:t>
      </w:r>
      <w:r w:rsidRPr="00D76515">
        <w:rPr>
          <w:rFonts w:ascii="Arial" w:hAnsi="Arial" w:cs="Arial"/>
          <w:sz w:val="20"/>
          <w:szCs w:val="20"/>
        </w:rPr>
        <w:t>0 mln PLN.</w:t>
      </w:r>
      <w:r w:rsidR="00D76515" w:rsidRPr="00D76515">
        <w:rPr>
          <w:rFonts w:ascii="Arial" w:hAnsi="Arial" w:cs="Arial"/>
          <w:sz w:val="20"/>
          <w:szCs w:val="20"/>
        </w:rPr>
        <w:t xml:space="preserve"> Harmonogram kapitalizacji funduszu w latach 2018-2021 przewiduje wpłaty inwestorów w 4 równych ratach po 5 mln PLN każda rata.</w:t>
      </w:r>
    </w:p>
    <w:p w:rsidR="003B3023" w:rsidRDefault="003B3023" w:rsidP="004B677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9569D5" w:rsidRPr="009569D5" w:rsidRDefault="009569D5" w:rsidP="004B677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569D5">
        <w:rPr>
          <w:rFonts w:ascii="Arial" w:hAnsi="Arial" w:cs="Arial"/>
          <w:b/>
          <w:i/>
          <w:sz w:val="20"/>
          <w:szCs w:val="20"/>
        </w:rPr>
        <w:t>Horyzont inwestycyjny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9569D5" w:rsidRPr="009569D5" w:rsidRDefault="009569D5" w:rsidP="004B677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9569D5">
        <w:rPr>
          <w:rFonts w:ascii="Arial" w:hAnsi="Arial" w:cs="Arial"/>
          <w:sz w:val="20"/>
          <w:szCs w:val="20"/>
        </w:rPr>
        <w:t>Założeniem Funduszu jest funkcjonowanie na zasadzie odnawialnej, czyli tzw. „evergreen”. Inicjalny budżet inwestycyjny Funduszu zakłada zainwestowanie większości środków w ciągu 4 lat, a następnie pracę nad rozwojem spółek portfelowych, aż do momentu wyjścia kapitałowego</w:t>
      </w:r>
      <w:r w:rsidR="00D76515">
        <w:rPr>
          <w:rFonts w:ascii="Arial" w:hAnsi="Arial" w:cs="Arial"/>
          <w:sz w:val="20"/>
          <w:szCs w:val="20"/>
        </w:rPr>
        <w:t>.</w:t>
      </w:r>
    </w:p>
    <w:p w:rsidR="009569D5" w:rsidRPr="006D67A0" w:rsidRDefault="009569D5" w:rsidP="004B677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BA241F" w:rsidRPr="00D76515" w:rsidRDefault="00D70294" w:rsidP="004B677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6515">
        <w:rPr>
          <w:rFonts w:ascii="Arial" w:hAnsi="Arial" w:cs="Arial"/>
          <w:b/>
          <w:i/>
          <w:sz w:val="20"/>
          <w:szCs w:val="20"/>
        </w:rPr>
        <w:t>Struktura założycielska Funduszu</w:t>
      </w:r>
      <w:r w:rsidR="009569D5" w:rsidRPr="00D76515">
        <w:rPr>
          <w:rFonts w:ascii="Arial" w:hAnsi="Arial" w:cs="Arial"/>
          <w:b/>
          <w:i/>
          <w:sz w:val="20"/>
          <w:szCs w:val="20"/>
        </w:rPr>
        <w:t>:</w:t>
      </w:r>
      <w:r w:rsidRPr="00D7651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A241F" w:rsidRPr="00D76515" w:rsidRDefault="004845DE" w:rsidP="004B6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>Przewiduje się</w:t>
      </w:r>
      <w:r w:rsidR="00D70294" w:rsidRPr="00D76515">
        <w:rPr>
          <w:rFonts w:ascii="Arial" w:hAnsi="Arial" w:cs="Arial"/>
          <w:sz w:val="20"/>
          <w:szCs w:val="20"/>
        </w:rPr>
        <w:t xml:space="preserve"> następującą strukturę założycielską Funduszu: </w:t>
      </w:r>
    </w:p>
    <w:p w:rsidR="00BA241F" w:rsidRPr="00D76515" w:rsidRDefault="00426186" w:rsidP="004B6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>80</w:t>
      </w:r>
      <w:r w:rsidR="00D70294" w:rsidRPr="00D76515">
        <w:rPr>
          <w:rFonts w:ascii="Arial" w:hAnsi="Arial" w:cs="Arial"/>
          <w:sz w:val="20"/>
          <w:szCs w:val="20"/>
        </w:rPr>
        <w:t xml:space="preserve">% MARR; </w:t>
      </w:r>
    </w:p>
    <w:p w:rsidR="00BA241F" w:rsidRDefault="00426186" w:rsidP="004B6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515">
        <w:rPr>
          <w:rFonts w:ascii="Arial" w:hAnsi="Arial" w:cs="Arial"/>
          <w:sz w:val="20"/>
          <w:szCs w:val="20"/>
        </w:rPr>
        <w:t>2</w:t>
      </w:r>
      <w:r w:rsidR="00D70294" w:rsidRPr="00D76515">
        <w:rPr>
          <w:rFonts w:ascii="Arial" w:hAnsi="Arial" w:cs="Arial"/>
          <w:sz w:val="20"/>
          <w:szCs w:val="20"/>
        </w:rPr>
        <w:t>0%</w:t>
      </w:r>
      <w:r w:rsidR="004845DE" w:rsidRPr="00D76515">
        <w:rPr>
          <w:rFonts w:ascii="Arial" w:hAnsi="Arial" w:cs="Arial"/>
          <w:sz w:val="20"/>
          <w:szCs w:val="20"/>
        </w:rPr>
        <w:t xml:space="preserve"> </w:t>
      </w:r>
      <w:r w:rsidR="00D70294" w:rsidRPr="00D76515">
        <w:rPr>
          <w:rFonts w:ascii="Arial" w:hAnsi="Arial" w:cs="Arial"/>
          <w:sz w:val="20"/>
          <w:szCs w:val="20"/>
        </w:rPr>
        <w:t xml:space="preserve"> AGH.</w:t>
      </w:r>
      <w:r w:rsidR="00D70294" w:rsidRPr="00D62D00">
        <w:rPr>
          <w:rFonts w:ascii="Arial" w:hAnsi="Arial" w:cs="Arial"/>
          <w:sz w:val="20"/>
          <w:szCs w:val="20"/>
        </w:rPr>
        <w:t xml:space="preserve"> </w:t>
      </w:r>
    </w:p>
    <w:p w:rsidR="003B3023" w:rsidRDefault="003B3023" w:rsidP="004B677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A241F" w:rsidRDefault="00D70294" w:rsidP="004B677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b/>
          <w:i/>
          <w:color w:val="000000" w:themeColor="text1"/>
          <w:sz w:val="20"/>
          <w:szCs w:val="20"/>
        </w:rPr>
        <w:t>Kluczowe kryteria inwestycyjne:</w:t>
      </w:r>
    </w:p>
    <w:p w:rsidR="00BA241F" w:rsidRDefault="00D70294" w:rsidP="004B6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color w:val="000000" w:themeColor="text1"/>
          <w:sz w:val="20"/>
          <w:szCs w:val="20"/>
        </w:rPr>
        <w:t>Podstawowe kryteria inwestycyjne:</w:t>
      </w:r>
    </w:p>
    <w:p w:rsidR="00BA241F" w:rsidRDefault="00D70294" w:rsidP="004B6777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color w:val="000000" w:themeColor="text1"/>
          <w:sz w:val="20"/>
          <w:szCs w:val="20"/>
        </w:rPr>
        <w:t>kryteria brzegowe</w:t>
      </w:r>
      <w:r w:rsidR="006D67A0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BA241F" w:rsidRPr="006D67A0" w:rsidRDefault="006D67A0" w:rsidP="004B67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67A0">
        <w:rPr>
          <w:rFonts w:ascii="Arial" w:hAnsi="Arial" w:cs="Arial"/>
          <w:sz w:val="20"/>
          <w:szCs w:val="20"/>
        </w:rPr>
        <w:t>Projekt łącznie spełnia kryteria brzegowe polityki inwestycyjnej Funduszu w zakresie: zgodność projektu z aktualnymi regionalnymi inteligentnymi specjalizacjami, etapu rozwoju, miejsca prowadzenia działalności, a także profilu branżowego działalności nie zawierającego się w zestawie działalności wykluczonych oraz planowanego przeznaczenia środków nie zawierającego się w zestawie przeznaczeń wyłączonych (wykluczenia i wyłączenia mogą być konieczne w przypadku korzystania przez Inwestorów ze środków publicznych, które są obwarowane takimi kryteriami)</w:t>
      </w:r>
      <w:r w:rsidR="00D70294" w:rsidRPr="006D67A0">
        <w:rPr>
          <w:rFonts w:ascii="Arial" w:hAnsi="Arial" w:cs="Arial"/>
          <w:sz w:val="20"/>
          <w:szCs w:val="20"/>
        </w:rPr>
        <w:t>.</w:t>
      </w:r>
    </w:p>
    <w:p w:rsidR="00BA241F" w:rsidRDefault="00D70294" w:rsidP="004B6777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color w:val="000000" w:themeColor="text1"/>
          <w:sz w:val="20"/>
          <w:szCs w:val="20"/>
        </w:rPr>
        <w:t>potencjał inwestycyjny projektu oceniany na podstawie poniższych kryteriów:</w:t>
      </w:r>
    </w:p>
    <w:p w:rsidR="00BA241F" w:rsidRDefault="00D70294" w:rsidP="004B6777">
      <w:pPr>
        <w:autoSpaceDE w:val="0"/>
        <w:autoSpaceDN w:val="0"/>
        <w:adjustRightInd w:val="0"/>
        <w:spacing w:after="0" w:line="240" w:lineRule="auto"/>
        <w:ind w:firstLine="492"/>
        <w:jc w:val="both"/>
        <w:rPr>
          <w:rFonts w:ascii="Arial" w:hAnsi="Arial" w:cs="Arial"/>
          <w:sz w:val="20"/>
          <w:szCs w:val="20"/>
        </w:rPr>
      </w:pPr>
      <w:r w:rsidRPr="00D62D00">
        <w:rPr>
          <w:rFonts w:ascii="Arial" w:hAnsi="Arial" w:cs="Arial"/>
          <w:i/>
          <w:sz w:val="20"/>
          <w:szCs w:val="20"/>
        </w:rPr>
        <w:t xml:space="preserve">(a) </w:t>
      </w:r>
      <w:r w:rsidRPr="00D62D00">
        <w:rPr>
          <w:rFonts w:ascii="Arial" w:hAnsi="Arial" w:cs="Arial"/>
          <w:sz w:val="20"/>
          <w:szCs w:val="20"/>
        </w:rPr>
        <w:t>Kapitał ludzki:</w:t>
      </w:r>
      <w:r w:rsidRPr="00D62D00">
        <w:rPr>
          <w:rFonts w:ascii="Arial" w:hAnsi="Arial" w:cs="Arial"/>
          <w:i/>
          <w:sz w:val="20"/>
          <w:szCs w:val="20"/>
        </w:rPr>
        <w:t xml:space="preserve"> Kompetencje zespołu projektowego w technologii, którą zamierza rozwijać; Historia współpracy Zespołu; Kompletność Zespołu; Dotychczasowe i planowane czasowe zaangażowanie członków Zespołu projektowego w pracę nad projektem; Kompetencje przedsiębiorcze w Zespole (budowa i rozwój działalności gospodarczej); Kompetencje „miękkie” Zespołu (budowanie relacji, przywództwo); Referencje Zespołu; Umiejętność oceny ryzyka i rynku docelowego przez Zespół</w:t>
      </w:r>
      <w:r w:rsidRPr="00D62D00">
        <w:rPr>
          <w:rFonts w:ascii="Arial" w:hAnsi="Arial" w:cs="Arial"/>
          <w:sz w:val="20"/>
          <w:szCs w:val="20"/>
        </w:rPr>
        <w:t>.</w:t>
      </w:r>
    </w:p>
    <w:p w:rsidR="00BA241F" w:rsidRDefault="00D70294" w:rsidP="004B6777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Arial" w:hAnsi="Arial" w:cs="Arial"/>
          <w:sz w:val="20"/>
          <w:szCs w:val="20"/>
        </w:rPr>
      </w:pPr>
      <w:r w:rsidRPr="00D62D00">
        <w:rPr>
          <w:rFonts w:ascii="Arial" w:hAnsi="Arial" w:cs="Arial"/>
          <w:i/>
          <w:sz w:val="20"/>
          <w:szCs w:val="20"/>
        </w:rPr>
        <w:lastRenderedPageBreak/>
        <w:t xml:space="preserve">(b) </w:t>
      </w:r>
      <w:r w:rsidRPr="00D62D00">
        <w:rPr>
          <w:rFonts w:ascii="Arial" w:hAnsi="Arial" w:cs="Arial"/>
          <w:sz w:val="20"/>
          <w:szCs w:val="20"/>
        </w:rPr>
        <w:t>Produkt:</w:t>
      </w:r>
      <w:r w:rsidRPr="00D62D00">
        <w:rPr>
          <w:rFonts w:ascii="Arial" w:hAnsi="Arial" w:cs="Arial"/>
          <w:i/>
          <w:sz w:val="20"/>
          <w:szCs w:val="20"/>
        </w:rPr>
        <w:t xml:space="preserve"> Charakterystyka produktu (innowacyjność, przewagi konkurencyjne), Unikalność technologiczna, Etap rozwoju produktu oraz cykl życia technologii, w ramach której jest rozwijany, Aktualna forma ochrony własności intelektualnej („IP”), Możliwość rozszerzania i poprawy ochrony IP, Skalowalność produktu.</w:t>
      </w:r>
    </w:p>
    <w:p w:rsidR="00BA241F" w:rsidRDefault="00D70294" w:rsidP="004B6777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Arial" w:hAnsi="Arial" w:cs="Arial"/>
          <w:sz w:val="20"/>
          <w:szCs w:val="20"/>
        </w:rPr>
      </w:pPr>
      <w:r w:rsidRPr="00D62D00">
        <w:rPr>
          <w:rFonts w:ascii="Arial" w:hAnsi="Arial" w:cs="Arial"/>
          <w:i/>
          <w:sz w:val="20"/>
          <w:szCs w:val="20"/>
        </w:rPr>
        <w:t xml:space="preserve">(c) </w:t>
      </w:r>
      <w:r w:rsidRPr="00D62D00">
        <w:rPr>
          <w:rFonts w:ascii="Arial" w:hAnsi="Arial" w:cs="Arial"/>
          <w:sz w:val="20"/>
          <w:szCs w:val="20"/>
        </w:rPr>
        <w:t>Biznes:</w:t>
      </w:r>
      <w:r w:rsidRPr="00D62D00">
        <w:rPr>
          <w:rFonts w:ascii="Arial" w:hAnsi="Arial" w:cs="Arial"/>
          <w:i/>
          <w:sz w:val="20"/>
          <w:szCs w:val="20"/>
        </w:rPr>
        <w:t xml:space="preserve"> Wielkość rynku docelowego projektu, Dynamika wzrostu rynku docelowego, Estymowany udział w rynku docelowym, Otoczenie konkurencyjne i przewagi projektu względem tego otoczenia, Przewidywana marżowość, Wrażliwość na cykliczność rynku docelowego, Projekt tworzy nowy rynek.</w:t>
      </w:r>
    </w:p>
    <w:p w:rsidR="00BA241F" w:rsidRDefault="00D70294" w:rsidP="004B6777">
      <w:pPr>
        <w:pStyle w:val="Akapitzlist"/>
        <w:numPr>
          <w:ilvl w:val="2"/>
          <w:numId w:val="26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color w:val="000000" w:themeColor="text1"/>
          <w:sz w:val="20"/>
          <w:szCs w:val="20"/>
        </w:rPr>
        <w:t>możliwość pozyskania dla projektu partnera biznesowego.</w:t>
      </w:r>
    </w:p>
    <w:p w:rsidR="003B3023" w:rsidRDefault="003B3023" w:rsidP="004B6777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A241F" w:rsidRPr="00BA241F" w:rsidRDefault="00BA241F" w:rsidP="004B6777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A241F">
        <w:rPr>
          <w:rFonts w:ascii="Arial" w:hAnsi="Arial" w:cs="Arial"/>
          <w:b/>
          <w:i/>
          <w:color w:val="000000" w:themeColor="text1"/>
          <w:sz w:val="20"/>
          <w:szCs w:val="20"/>
        </w:rPr>
        <w:t>Wycena aktywów Funduszu:</w:t>
      </w:r>
    </w:p>
    <w:p w:rsidR="009569D5" w:rsidRPr="00BB56A0" w:rsidRDefault="00D70294" w:rsidP="00BB56A0">
      <w:pPr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62D00">
        <w:rPr>
          <w:rFonts w:ascii="Arial" w:hAnsi="Arial" w:cs="Arial"/>
          <w:color w:val="000000" w:themeColor="text1"/>
          <w:sz w:val="20"/>
          <w:szCs w:val="20"/>
        </w:rPr>
        <w:t>Dokonywana przez TFI okresowo zgodnie ze Statutem Funduszu, lecz nie rzadziej niż raz na 3 miesiące (dodatkowo wyceny na 7 dni przed kolejną emisją certyfikatów lub w dniu wykupu).</w:t>
      </w:r>
    </w:p>
    <w:sectPr w:rsidR="009569D5" w:rsidRPr="00BB56A0" w:rsidSect="00534B27">
      <w:headerReference w:type="default" r:id="rId11"/>
      <w:footerReference w:type="default" r:id="rId12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D8" w:rsidRDefault="00D359D8" w:rsidP="00064B53">
      <w:pPr>
        <w:spacing w:after="0" w:line="240" w:lineRule="auto"/>
      </w:pPr>
      <w:r>
        <w:separator/>
      </w:r>
    </w:p>
  </w:endnote>
  <w:endnote w:type="continuationSeparator" w:id="0">
    <w:p w:rsidR="00D359D8" w:rsidRDefault="00D359D8" w:rsidP="0006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443236"/>
      <w:docPartObj>
        <w:docPartGallery w:val="Page Numbers (Bottom of Page)"/>
        <w:docPartUnique/>
      </w:docPartObj>
    </w:sdtPr>
    <w:sdtEndPr/>
    <w:sdtContent>
      <w:p w:rsidR="00797689" w:rsidRDefault="00984142">
        <w:pPr>
          <w:pStyle w:val="Stopka"/>
          <w:jc w:val="center"/>
        </w:pPr>
        <w:r>
          <w:fldChar w:fldCharType="begin"/>
        </w:r>
        <w:r w:rsidR="0028617F">
          <w:instrText xml:space="preserve"> PAGE   \* MERGEFORMAT </w:instrText>
        </w:r>
        <w:r>
          <w:fldChar w:fldCharType="separate"/>
        </w:r>
        <w:r w:rsidR="00BB56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689" w:rsidRDefault="00E50122">
    <w:pPr>
      <w:pStyle w:val="Stopka"/>
    </w:pPr>
    <w:r>
      <w:rPr>
        <w:noProof/>
      </w:rPr>
      <w:drawing>
        <wp:inline distT="0" distB="0" distL="0" distR="0" wp14:anchorId="387CF3DB" wp14:editId="2CA3F133">
          <wp:extent cx="5759450" cy="933244"/>
          <wp:effectExtent l="0" t="0" r="0" b="635"/>
          <wp:docPr id="1" name="Obraz 1" descr="C:\Documents and Settings\marcin.rebeta\Pulpit\marr-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cin.rebeta\Pulpit\marr-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3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D8" w:rsidRDefault="00D359D8" w:rsidP="00064B53">
      <w:pPr>
        <w:spacing w:after="0" w:line="240" w:lineRule="auto"/>
      </w:pPr>
      <w:r>
        <w:separator/>
      </w:r>
    </w:p>
  </w:footnote>
  <w:footnote w:type="continuationSeparator" w:id="0">
    <w:p w:rsidR="00D359D8" w:rsidRDefault="00D359D8" w:rsidP="00064B53">
      <w:pPr>
        <w:spacing w:after="0" w:line="240" w:lineRule="auto"/>
      </w:pPr>
      <w:r>
        <w:continuationSeparator/>
      </w:r>
    </w:p>
  </w:footnote>
  <w:footnote w:id="1">
    <w:p w:rsidR="00797689" w:rsidRPr="00D62D00" w:rsidRDefault="00797689" w:rsidP="00D70294">
      <w:pPr>
        <w:pStyle w:val="Tekstprzypisudolnego"/>
        <w:jc w:val="both"/>
        <w:rPr>
          <w:rFonts w:ascii="Arial" w:hAnsi="Arial" w:cs="Arial"/>
          <w:sz w:val="14"/>
        </w:rPr>
      </w:pPr>
      <w:r w:rsidRPr="00BA241F">
        <w:rPr>
          <w:rStyle w:val="Odwoanieprzypisudolnego"/>
          <w:rFonts w:ascii="Arial" w:hAnsi="Arial" w:cs="Arial"/>
          <w:sz w:val="16"/>
        </w:rPr>
        <w:footnoteRef/>
      </w:r>
      <w:r w:rsidRPr="00BA241F">
        <w:rPr>
          <w:rFonts w:ascii="Arial" w:hAnsi="Arial" w:cs="Arial"/>
          <w:sz w:val="16"/>
        </w:rPr>
        <w:t xml:space="preserve"> </w:t>
      </w:r>
      <w:r w:rsidRPr="00BA241F">
        <w:rPr>
          <w:rFonts w:ascii="Arial" w:eastAsia="Times New Roman" w:hAnsi="Arial" w:cs="Arial"/>
          <w:sz w:val="14"/>
          <w:shd w:val="clear" w:color="auto" w:fill="FFFFFF"/>
        </w:rPr>
        <w:t>Faza </w:t>
      </w:r>
      <w:r w:rsidRPr="00BA241F">
        <w:rPr>
          <w:rFonts w:ascii="Arial" w:eastAsia="Times New Roman" w:hAnsi="Arial" w:cs="Arial"/>
          <w:i/>
          <w:iCs/>
          <w:sz w:val="14"/>
        </w:rPr>
        <w:t>Proof-of-</w:t>
      </w:r>
      <w:proofErr w:type="spellStart"/>
      <w:r w:rsidRPr="00BA241F">
        <w:rPr>
          <w:rFonts w:ascii="Arial" w:eastAsia="Times New Roman" w:hAnsi="Arial" w:cs="Arial"/>
          <w:i/>
          <w:iCs/>
          <w:sz w:val="14"/>
        </w:rPr>
        <w:t>Principle</w:t>
      </w:r>
      <w:proofErr w:type="spellEnd"/>
      <w:r w:rsidRPr="00BA241F">
        <w:rPr>
          <w:rFonts w:ascii="Arial" w:eastAsia="Times New Roman" w:hAnsi="Arial" w:cs="Arial"/>
          <w:sz w:val="14"/>
          <w:shd w:val="clear" w:color="auto" w:fill="FFFFFF"/>
        </w:rPr>
        <w:t xml:space="preserve"> – /zwana dalej </w:t>
      </w:r>
      <w:proofErr w:type="spellStart"/>
      <w:r w:rsidRPr="00BA241F">
        <w:rPr>
          <w:rFonts w:ascii="Arial" w:eastAsia="Times New Roman" w:hAnsi="Arial" w:cs="Arial"/>
          <w:sz w:val="14"/>
          <w:shd w:val="clear" w:color="auto" w:fill="FFFFFF"/>
        </w:rPr>
        <w:t>PoP</w:t>
      </w:r>
      <w:proofErr w:type="spellEnd"/>
      <w:r w:rsidRPr="00BA241F">
        <w:rPr>
          <w:rFonts w:ascii="Arial" w:eastAsia="Times New Roman" w:hAnsi="Arial" w:cs="Arial"/>
          <w:sz w:val="14"/>
          <w:shd w:val="clear" w:color="auto" w:fill="FFFFFF"/>
        </w:rPr>
        <w:t xml:space="preserve">/ faza projektu B+R polegająca na </w:t>
      </w:r>
      <w:r w:rsidRPr="00BA241F">
        <w:rPr>
          <w:rFonts w:ascii="Arial" w:eastAsia="Times New Roman" w:hAnsi="Arial" w:cs="Arial"/>
          <w:sz w:val="14"/>
          <w:u w:val="single"/>
          <w:shd w:val="clear" w:color="auto" w:fill="FFFFFF"/>
        </w:rPr>
        <w:t>wczesnej weryfikacji pomysłu.</w:t>
      </w:r>
      <w:r w:rsidRPr="00BA241F">
        <w:rPr>
          <w:rFonts w:ascii="Arial" w:eastAsia="Times New Roman" w:hAnsi="Arial" w:cs="Arial"/>
          <w:sz w:val="14"/>
          <w:shd w:val="clear" w:color="auto" w:fill="FFFFFF"/>
        </w:rPr>
        <w:t xml:space="preserve"> W tej fazie realizowane są badania przemysłowe i eksperymentalne prace rozwojowe, wstępna ocena potencjału projektu, analizy otoczenia konkurencyjnego, zdefiniowanie planu badawczego i pierwszych kamieni milowych rozwoju projektu.</w:t>
      </w:r>
    </w:p>
  </w:footnote>
  <w:footnote w:id="2">
    <w:p w:rsidR="00797689" w:rsidRPr="00D62D00" w:rsidRDefault="00797689" w:rsidP="00D70294">
      <w:pPr>
        <w:pStyle w:val="Tekstprzypisudolnego"/>
        <w:jc w:val="both"/>
        <w:rPr>
          <w:rFonts w:ascii="Arial" w:hAnsi="Arial" w:cs="Arial"/>
          <w:sz w:val="14"/>
        </w:rPr>
      </w:pPr>
      <w:r w:rsidRPr="00BA241F">
        <w:rPr>
          <w:rStyle w:val="Odwoanieprzypisudolnego"/>
          <w:rFonts w:ascii="Arial" w:hAnsi="Arial" w:cs="Arial"/>
          <w:sz w:val="14"/>
        </w:rPr>
        <w:footnoteRef/>
      </w:r>
      <w:r w:rsidRPr="00BA241F">
        <w:rPr>
          <w:rFonts w:ascii="Arial" w:hAnsi="Arial" w:cs="Arial"/>
          <w:sz w:val="14"/>
        </w:rPr>
        <w:t xml:space="preserve"> </w:t>
      </w:r>
      <w:r w:rsidRPr="00BA241F">
        <w:rPr>
          <w:rFonts w:ascii="Arial" w:eastAsia="Times New Roman" w:hAnsi="Arial" w:cs="Arial"/>
          <w:sz w:val="14"/>
          <w:shd w:val="clear" w:color="auto" w:fill="FFFFFF"/>
        </w:rPr>
        <w:t>Faza </w:t>
      </w:r>
      <w:r w:rsidRPr="00BA241F">
        <w:rPr>
          <w:rFonts w:ascii="Arial" w:eastAsia="Times New Roman" w:hAnsi="Arial" w:cs="Arial"/>
          <w:i/>
          <w:iCs/>
          <w:sz w:val="14"/>
        </w:rPr>
        <w:t>Proof-of-</w:t>
      </w:r>
      <w:proofErr w:type="spellStart"/>
      <w:r w:rsidRPr="00BA241F">
        <w:rPr>
          <w:rFonts w:ascii="Arial" w:eastAsia="Times New Roman" w:hAnsi="Arial" w:cs="Arial"/>
          <w:i/>
          <w:iCs/>
          <w:sz w:val="14"/>
        </w:rPr>
        <w:t>Concept</w:t>
      </w:r>
      <w:proofErr w:type="spellEnd"/>
      <w:r w:rsidRPr="00BA241F">
        <w:rPr>
          <w:rFonts w:ascii="Arial" w:eastAsia="Times New Roman" w:hAnsi="Arial" w:cs="Arial"/>
          <w:sz w:val="14"/>
          <w:shd w:val="clear" w:color="auto" w:fill="FFFFFF"/>
        </w:rPr>
        <w:t xml:space="preserve"> - /zwana dalej </w:t>
      </w:r>
      <w:proofErr w:type="spellStart"/>
      <w:r w:rsidRPr="00BA241F">
        <w:rPr>
          <w:rFonts w:ascii="Arial" w:eastAsia="Times New Roman" w:hAnsi="Arial" w:cs="Arial"/>
          <w:sz w:val="14"/>
          <w:shd w:val="clear" w:color="auto" w:fill="FFFFFF"/>
        </w:rPr>
        <w:t>PoC</w:t>
      </w:r>
      <w:proofErr w:type="spellEnd"/>
      <w:r w:rsidRPr="00BA241F">
        <w:rPr>
          <w:rFonts w:ascii="Arial" w:eastAsia="Times New Roman" w:hAnsi="Arial" w:cs="Arial"/>
          <w:sz w:val="14"/>
          <w:shd w:val="clear" w:color="auto" w:fill="FFFFFF"/>
        </w:rPr>
        <w:t xml:space="preserve">/ faza projekt B+R polegająca na </w:t>
      </w:r>
      <w:r w:rsidRPr="00BA241F">
        <w:rPr>
          <w:rFonts w:ascii="Arial" w:eastAsia="Times New Roman" w:hAnsi="Arial" w:cs="Arial"/>
          <w:sz w:val="14"/>
          <w:u w:val="single"/>
          <w:shd w:val="clear" w:color="auto" w:fill="FFFFFF"/>
        </w:rPr>
        <w:t>właściwej weryfikacji pomysłu</w:t>
      </w:r>
      <w:r w:rsidRPr="00BA241F">
        <w:rPr>
          <w:rFonts w:ascii="Arial" w:eastAsia="Times New Roman" w:hAnsi="Arial" w:cs="Arial"/>
          <w:sz w:val="14"/>
          <w:shd w:val="clear" w:color="auto" w:fill="FFFFFF"/>
        </w:rPr>
        <w:t>. W tej fazie realizowane są zwykle badania przemysłowe i stosowane, których wyniki (jeśli pozytywne) umożliwią pełne zgłoszenie patentowe i/lub komercyjne wykorzystanie wyników projektu B+R.</w:t>
      </w:r>
    </w:p>
  </w:footnote>
  <w:footnote w:id="3">
    <w:p w:rsidR="00797689" w:rsidRPr="00D62D00" w:rsidRDefault="00797689" w:rsidP="00D70294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shd w:val="clear" w:color="auto" w:fill="FFFFFF"/>
        </w:rPr>
      </w:pPr>
      <w:r w:rsidRPr="00BA241F">
        <w:rPr>
          <w:rStyle w:val="Odwoanieprzypisudolnego"/>
          <w:rFonts w:ascii="Arial" w:hAnsi="Arial" w:cs="Arial"/>
          <w:sz w:val="14"/>
          <w:szCs w:val="20"/>
        </w:rPr>
        <w:footnoteRef/>
      </w:r>
      <w:r w:rsidRPr="00BA241F">
        <w:rPr>
          <w:rFonts w:ascii="Arial" w:hAnsi="Arial" w:cs="Arial"/>
          <w:sz w:val="14"/>
          <w:szCs w:val="20"/>
        </w:rPr>
        <w:t xml:space="preserve"> Faza </w:t>
      </w:r>
      <w:proofErr w:type="spellStart"/>
      <w:r w:rsidRPr="00BA241F">
        <w:rPr>
          <w:rFonts w:ascii="Arial" w:hAnsi="Arial" w:cs="Arial"/>
          <w:i/>
          <w:sz w:val="14"/>
          <w:szCs w:val="20"/>
        </w:rPr>
        <w:t>Seed</w:t>
      </w:r>
      <w:proofErr w:type="spellEnd"/>
      <w:r w:rsidRPr="00BA241F">
        <w:rPr>
          <w:rFonts w:ascii="Arial" w:hAnsi="Arial" w:cs="Arial"/>
          <w:i/>
          <w:sz w:val="14"/>
          <w:szCs w:val="20"/>
        </w:rPr>
        <w:t xml:space="preserve"> - </w:t>
      </w:r>
      <w:r w:rsidRPr="00BA241F">
        <w:rPr>
          <w:rFonts w:ascii="Arial" w:hAnsi="Arial" w:cs="Arial"/>
          <w:b/>
          <w:sz w:val="14"/>
          <w:szCs w:val="20"/>
        </w:rPr>
        <w:t>/</w:t>
      </w:r>
      <w:r w:rsidRPr="00BA241F">
        <w:rPr>
          <w:rFonts w:ascii="Arial" w:hAnsi="Arial" w:cs="Arial"/>
          <w:sz w:val="14"/>
          <w:szCs w:val="20"/>
        </w:rPr>
        <w:t>zwana dalej</w:t>
      </w:r>
      <w:r w:rsidRPr="00BA241F">
        <w:rPr>
          <w:rFonts w:ascii="Arial" w:hAnsi="Arial" w:cs="Arial"/>
          <w:b/>
          <w:sz w:val="14"/>
          <w:szCs w:val="20"/>
        </w:rPr>
        <w:t xml:space="preserve"> </w:t>
      </w:r>
      <w:proofErr w:type="spellStart"/>
      <w:r w:rsidRPr="00BA241F">
        <w:rPr>
          <w:rFonts w:ascii="Arial" w:hAnsi="Arial" w:cs="Arial"/>
          <w:sz w:val="14"/>
          <w:szCs w:val="20"/>
        </w:rPr>
        <w:t>Seed</w:t>
      </w:r>
      <w:proofErr w:type="spellEnd"/>
      <w:r w:rsidRPr="00BA241F">
        <w:rPr>
          <w:rFonts w:ascii="Arial" w:hAnsi="Arial" w:cs="Arial"/>
          <w:sz w:val="14"/>
          <w:szCs w:val="20"/>
        </w:rPr>
        <w:t xml:space="preserve"> lub Zasiew/ faza projektu polegająca na </w:t>
      </w:r>
      <w:r w:rsidRPr="00BA241F">
        <w:rPr>
          <w:rFonts w:ascii="Arial" w:hAnsi="Arial" w:cs="Arial"/>
          <w:sz w:val="14"/>
          <w:szCs w:val="20"/>
          <w:u w:val="single"/>
        </w:rPr>
        <w:t>rozwoju produktu</w:t>
      </w:r>
      <w:r w:rsidRPr="00BA241F">
        <w:rPr>
          <w:rFonts w:ascii="Arial" w:hAnsi="Arial" w:cs="Arial"/>
          <w:sz w:val="14"/>
          <w:szCs w:val="20"/>
        </w:rPr>
        <w:t xml:space="preserve">. Firma ma już zespół, zakończone badania rynkowe, biznes plan, ale produkt wymaga rozwoju. </w:t>
      </w:r>
      <w:r w:rsidRPr="00BA241F">
        <w:rPr>
          <w:rFonts w:ascii="Arial" w:eastAsia="Times New Roman" w:hAnsi="Arial" w:cs="Arial"/>
          <w:sz w:val="14"/>
          <w:szCs w:val="20"/>
          <w:shd w:val="clear" w:color="auto" w:fill="FFFFFF"/>
        </w:rPr>
        <w:t>Finansowanie ma na celu zakończenie procesu tworzenia produktu i pierwsze działania marketingowe. Pod koniec tej fazy firma może już osiągać nieznaczne przychody, ale nie zysk.</w:t>
      </w:r>
    </w:p>
    <w:p w:rsidR="00797689" w:rsidRPr="00D62D00" w:rsidRDefault="00797689" w:rsidP="00D70294">
      <w:pPr>
        <w:pStyle w:val="Tekstprzypisudolnego"/>
        <w:jc w:val="both"/>
        <w:rPr>
          <w:rFonts w:ascii="Arial" w:hAnsi="Arial" w:cs="Arial"/>
          <w:sz w:val="14"/>
        </w:rPr>
      </w:pPr>
    </w:p>
  </w:footnote>
  <w:footnote w:id="4">
    <w:p w:rsidR="00797689" w:rsidRPr="00D62D00" w:rsidRDefault="00797689" w:rsidP="00D70294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BA241F">
        <w:rPr>
          <w:rStyle w:val="Odwoanieprzypisudolnego"/>
          <w:rFonts w:ascii="Arial" w:hAnsi="Arial" w:cs="Arial"/>
          <w:sz w:val="14"/>
          <w:szCs w:val="20"/>
        </w:rPr>
        <w:footnoteRef/>
      </w:r>
      <w:r w:rsidRPr="00BA241F">
        <w:rPr>
          <w:rFonts w:ascii="Arial" w:hAnsi="Arial" w:cs="Arial"/>
          <w:sz w:val="14"/>
          <w:szCs w:val="20"/>
        </w:rPr>
        <w:t xml:space="preserve"> Faza </w:t>
      </w:r>
      <w:proofErr w:type="spellStart"/>
      <w:r w:rsidRPr="00BA241F">
        <w:rPr>
          <w:rFonts w:ascii="Arial" w:hAnsi="Arial" w:cs="Arial"/>
          <w:i/>
          <w:sz w:val="14"/>
          <w:szCs w:val="20"/>
        </w:rPr>
        <w:t>Growth</w:t>
      </w:r>
      <w:proofErr w:type="spellEnd"/>
      <w:r w:rsidRPr="00BA241F">
        <w:rPr>
          <w:rFonts w:ascii="Arial" w:hAnsi="Arial" w:cs="Arial"/>
          <w:sz w:val="14"/>
          <w:szCs w:val="20"/>
        </w:rPr>
        <w:t xml:space="preserve"> - /zwana dalej </w:t>
      </w:r>
      <w:proofErr w:type="spellStart"/>
      <w:r w:rsidRPr="00BA241F">
        <w:rPr>
          <w:rFonts w:ascii="Arial" w:hAnsi="Arial" w:cs="Arial"/>
          <w:sz w:val="14"/>
          <w:szCs w:val="20"/>
        </w:rPr>
        <w:t>Growth</w:t>
      </w:r>
      <w:proofErr w:type="spellEnd"/>
      <w:r w:rsidRPr="00BA241F">
        <w:rPr>
          <w:rFonts w:ascii="Arial" w:hAnsi="Arial" w:cs="Arial"/>
          <w:sz w:val="14"/>
          <w:szCs w:val="20"/>
        </w:rPr>
        <w:t xml:space="preserve"> lub Wzrost/ - faza projektu polegająca na </w:t>
      </w:r>
      <w:r w:rsidRPr="00BA241F">
        <w:rPr>
          <w:rFonts w:ascii="Arial" w:eastAsia="Times New Roman" w:hAnsi="Arial" w:cs="Arial"/>
          <w:sz w:val="14"/>
          <w:szCs w:val="20"/>
          <w:u w:val="single"/>
          <w:shd w:val="clear" w:color="auto" w:fill="FFFFFF"/>
        </w:rPr>
        <w:t xml:space="preserve">zainicjowaniu produkcji i sprzedaży produktu czy usługi na skalę masową, </w:t>
      </w:r>
      <w:r w:rsidRPr="00BA241F">
        <w:rPr>
          <w:rFonts w:ascii="Arial" w:eastAsia="Times New Roman" w:hAnsi="Arial" w:cs="Arial"/>
          <w:sz w:val="14"/>
          <w:szCs w:val="20"/>
          <w:shd w:val="clear" w:color="auto" w:fill="FFFFFF"/>
        </w:rPr>
        <w:t>co ma być zapewnione poprzez udzielone finansowanie. Firma w tej fazie najprawdopodobniej jeszcze nie będzie wykazywać zysku.</w:t>
      </w:r>
    </w:p>
  </w:footnote>
  <w:footnote w:id="5">
    <w:p w:rsidR="00797689" w:rsidRPr="00D62D00" w:rsidRDefault="00797689" w:rsidP="00D7029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  <w:sz w:val="14"/>
          <w:szCs w:val="20"/>
          <w:lang w:val="pl-PL"/>
        </w:rPr>
      </w:pPr>
      <w:r w:rsidRPr="00BA241F">
        <w:rPr>
          <w:rStyle w:val="Odwoanieprzypisudolnego"/>
          <w:rFonts w:ascii="Arial" w:hAnsi="Arial" w:cs="Arial"/>
          <w:sz w:val="14"/>
          <w:szCs w:val="20"/>
        </w:rPr>
        <w:footnoteRef/>
      </w:r>
      <w:r w:rsidRPr="00BA241F">
        <w:rPr>
          <w:rFonts w:ascii="Arial" w:hAnsi="Arial" w:cs="Arial"/>
          <w:sz w:val="14"/>
          <w:szCs w:val="20"/>
          <w:lang w:val="pl-PL"/>
        </w:rPr>
        <w:t xml:space="preserve"> Faza </w:t>
      </w:r>
      <w:r w:rsidRPr="00BA241F">
        <w:rPr>
          <w:rFonts w:ascii="Arial" w:hAnsi="Arial" w:cs="Arial"/>
          <w:i/>
          <w:sz w:val="14"/>
          <w:szCs w:val="20"/>
          <w:lang w:val="pl-PL"/>
        </w:rPr>
        <w:t>Expansion</w:t>
      </w:r>
      <w:r w:rsidRPr="00BA241F">
        <w:rPr>
          <w:rFonts w:ascii="Arial" w:hAnsi="Arial" w:cs="Arial"/>
          <w:sz w:val="14"/>
          <w:szCs w:val="20"/>
          <w:lang w:val="pl-PL"/>
        </w:rPr>
        <w:t xml:space="preserve"> - /zwana dalej Expansion lub Ekspansja/ -  faza projektu polegająca na </w:t>
      </w:r>
      <w:r w:rsidRPr="00BA241F">
        <w:rPr>
          <w:rFonts w:ascii="Arial" w:hAnsi="Arial" w:cs="Arial"/>
          <w:sz w:val="14"/>
          <w:szCs w:val="20"/>
          <w:u w:val="single"/>
          <w:lang w:val="pl-PL"/>
        </w:rPr>
        <w:t>ekspansji rynkowej firmy</w:t>
      </w:r>
      <w:r w:rsidRPr="00BA241F">
        <w:rPr>
          <w:rFonts w:ascii="Arial" w:hAnsi="Arial" w:cs="Arial"/>
          <w:sz w:val="14"/>
          <w:szCs w:val="20"/>
          <w:lang w:val="pl-PL"/>
        </w:rPr>
        <w:t xml:space="preserve"> (dynamicznym wzroście sprzedaży produktów i/lub usług). Udzielone finansowanie przeznaczone jest na ogół na finansowanie kapitału obrotowego związanego ze wzrostem oraz na rozbudowę potencjału organizacyjnego i produkcyjnego. Firma pod koniec tej fazy rozwoju najczęściej wykazuje zyski.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89" w:rsidRDefault="00797689" w:rsidP="000C3A07">
    <w:pPr>
      <w:pStyle w:val="Nagwek"/>
      <w:rPr>
        <w:rFonts w:ascii="Garamond" w:hAnsi="Garamond"/>
        <w:sz w:val="18"/>
        <w:szCs w:val="18"/>
      </w:rPr>
    </w:pPr>
    <w:r>
      <w:rPr>
        <w:noProof/>
      </w:rPr>
      <w:drawing>
        <wp:inline distT="0" distB="0" distL="0" distR="0">
          <wp:extent cx="965835" cy="504825"/>
          <wp:effectExtent l="19050" t="0" r="5715" b="0"/>
          <wp:docPr id="2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7689" w:rsidRDefault="00797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D2A8C68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13"/>
    <w:multiLevelType w:val="multilevel"/>
    <w:tmpl w:val="B142C3FC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2" w15:restartNumberingAfterBreak="0">
    <w:nsid w:val="00000016"/>
    <w:multiLevelType w:val="multilevel"/>
    <w:tmpl w:val="923EE342"/>
    <w:name w:val="WW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98" w:hanging="180"/>
      </w:pPr>
    </w:lvl>
  </w:abstractNum>
  <w:abstractNum w:abstractNumId="3" w15:restartNumberingAfterBreak="0">
    <w:nsid w:val="039479EB"/>
    <w:multiLevelType w:val="hybridMultilevel"/>
    <w:tmpl w:val="DB90DC04"/>
    <w:lvl w:ilvl="0" w:tplc="4C1C64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F0DA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C88B9A2"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641B"/>
    <w:multiLevelType w:val="hybridMultilevel"/>
    <w:tmpl w:val="44C254C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11147009"/>
    <w:multiLevelType w:val="hybridMultilevel"/>
    <w:tmpl w:val="D3A05A44"/>
    <w:lvl w:ilvl="0" w:tplc="1C4E2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395B1B"/>
    <w:multiLevelType w:val="hybridMultilevel"/>
    <w:tmpl w:val="695A21E2"/>
    <w:lvl w:ilvl="0" w:tplc="93B29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46DD0"/>
    <w:multiLevelType w:val="hybridMultilevel"/>
    <w:tmpl w:val="4D38E294"/>
    <w:lvl w:ilvl="0" w:tplc="EF22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5A0F0B"/>
    <w:multiLevelType w:val="hybridMultilevel"/>
    <w:tmpl w:val="B11AC496"/>
    <w:lvl w:ilvl="0" w:tplc="4E081A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10411"/>
    <w:multiLevelType w:val="hybridMultilevel"/>
    <w:tmpl w:val="5E9616CE"/>
    <w:lvl w:ilvl="0" w:tplc="3E34D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1130F8"/>
    <w:multiLevelType w:val="hybridMultilevel"/>
    <w:tmpl w:val="B0BEDCF6"/>
    <w:lvl w:ilvl="0" w:tplc="86D070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CE32C3"/>
    <w:multiLevelType w:val="hybridMultilevel"/>
    <w:tmpl w:val="448C07E0"/>
    <w:lvl w:ilvl="0" w:tplc="F92A7D3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25EC0AB4"/>
    <w:multiLevelType w:val="hybridMultilevel"/>
    <w:tmpl w:val="5A7A9592"/>
    <w:lvl w:ilvl="0" w:tplc="90406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83E33"/>
    <w:multiLevelType w:val="hybridMultilevel"/>
    <w:tmpl w:val="F61A0B22"/>
    <w:lvl w:ilvl="0" w:tplc="E0CEC96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8B1E7B3A">
      <w:start w:val="1"/>
      <w:numFmt w:val="lowerRoman"/>
      <w:lvlText w:val="%2)"/>
      <w:lvlJc w:val="left"/>
      <w:pPr>
        <w:ind w:left="2291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12059CB"/>
    <w:multiLevelType w:val="hybridMultilevel"/>
    <w:tmpl w:val="2FF8A47E"/>
    <w:lvl w:ilvl="0" w:tplc="F92A7D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7ED4"/>
    <w:multiLevelType w:val="hybridMultilevel"/>
    <w:tmpl w:val="C5361B44"/>
    <w:lvl w:ilvl="0" w:tplc="EF22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7F2B19"/>
    <w:multiLevelType w:val="hybridMultilevel"/>
    <w:tmpl w:val="C810C7CC"/>
    <w:lvl w:ilvl="0" w:tplc="F6CEB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B5539B"/>
    <w:multiLevelType w:val="hybridMultilevel"/>
    <w:tmpl w:val="4C886D2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473D373D"/>
    <w:multiLevelType w:val="hybridMultilevel"/>
    <w:tmpl w:val="B11AC496"/>
    <w:lvl w:ilvl="0" w:tplc="4E081A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932DA"/>
    <w:multiLevelType w:val="hybridMultilevel"/>
    <w:tmpl w:val="49C8DDDA"/>
    <w:lvl w:ilvl="0" w:tplc="F92A7D3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57907E16"/>
    <w:multiLevelType w:val="hybridMultilevel"/>
    <w:tmpl w:val="E8D24C14"/>
    <w:lvl w:ilvl="0" w:tplc="3FB43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A8254B"/>
    <w:multiLevelType w:val="hybridMultilevel"/>
    <w:tmpl w:val="BDB2D356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DCD552C"/>
    <w:multiLevelType w:val="hybridMultilevel"/>
    <w:tmpl w:val="70E0DE58"/>
    <w:lvl w:ilvl="0" w:tplc="F92A7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864943"/>
    <w:multiLevelType w:val="hybridMultilevel"/>
    <w:tmpl w:val="90C67EF2"/>
    <w:lvl w:ilvl="0" w:tplc="290AC33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081A4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6219E"/>
    <w:multiLevelType w:val="hybridMultilevel"/>
    <w:tmpl w:val="45F40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F6246"/>
    <w:multiLevelType w:val="hybridMultilevel"/>
    <w:tmpl w:val="B3F0A76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DD6CDB"/>
    <w:multiLevelType w:val="hybridMultilevel"/>
    <w:tmpl w:val="E8D24C14"/>
    <w:lvl w:ilvl="0" w:tplc="3FB43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D24DFB"/>
    <w:multiLevelType w:val="hybridMultilevel"/>
    <w:tmpl w:val="45F40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4A0D"/>
    <w:multiLevelType w:val="hybridMultilevel"/>
    <w:tmpl w:val="39CC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10B48"/>
    <w:multiLevelType w:val="hybridMultilevel"/>
    <w:tmpl w:val="129EB34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 w15:restartNumberingAfterBreak="0">
    <w:nsid w:val="7B2B77C7"/>
    <w:multiLevelType w:val="hybridMultilevel"/>
    <w:tmpl w:val="505645AE"/>
    <w:lvl w:ilvl="0" w:tplc="3486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20"/>
  </w:num>
  <w:num w:numId="7">
    <w:abstractNumId w:val="26"/>
  </w:num>
  <w:num w:numId="8">
    <w:abstractNumId w:val="29"/>
  </w:num>
  <w:num w:numId="9">
    <w:abstractNumId w:val="17"/>
  </w:num>
  <w:num w:numId="10">
    <w:abstractNumId w:val="19"/>
  </w:num>
  <w:num w:numId="11">
    <w:abstractNumId w:val="11"/>
  </w:num>
  <w:num w:numId="12">
    <w:abstractNumId w:val="9"/>
  </w:num>
  <w:num w:numId="13">
    <w:abstractNumId w:val="16"/>
  </w:num>
  <w:num w:numId="14">
    <w:abstractNumId w:val="28"/>
  </w:num>
  <w:num w:numId="15">
    <w:abstractNumId w:val="22"/>
  </w:num>
  <w:num w:numId="16">
    <w:abstractNumId w:val="14"/>
  </w:num>
  <w:num w:numId="17">
    <w:abstractNumId w:val="7"/>
  </w:num>
  <w:num w:numId="18">
    <w:abstractNumId w:val="4"/>
  </w:num>
  <w:num w:numId="19">
    <w:abstractNumId w:val="15"/>
  </w:num>
  <w:num w:numId="20">
    <w:abstractNumId w:val="21"/>
  </w:num>
  <w:num w:numId="21">
    <w:abstractNumId w:val="24"/>
  </w:num>
  <w:num w:numId="22">
    <w:abstractNumId w:val="12"/>
  </w:num>
  <w:num w:numId="23">
    <w:abstractNumId w:val="27"/>
  </w:num>
  <w:num w:numId="24">
    <w:abstractNumId w:val="0"/>
  </w:num>
  <w:num w:numId="25">
    <w:abstractNumId w:val="2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8"/>
  </w:num>
  <w:num w:numId="30">
    <w:abstractNumId w:val="2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3"/>
    <w:rsid w:val="00010E19"/>
    <w:rsid w:val="000566DF"/>
    <w:rsid w:val="00064B53"/>
    <w:rsid w:val="00066CA3"/>
    <w:rsid w:val="000820EC"/>
    <w:rsid w:val="00094D78"/>
    <w:rsid w:val="000C3A07"/>
    <w:rsid w:val="000D2708"/>
    <w:rsid w:val="000F20A7"/>
    <w:rsid w:val="00112741"/>
    <w:rsid w:val="00112EC9"/>
    <w:rsid w:val="00113149"/>
    <w:rsid w:val="00123D48"/>
    <w:rsid w:val="00147FA6"/>
    <w:rsid w:val="001C301E"/>
    <w:rsid w:val="001E3063"/>
    <w:rsid w:val="001E771E"/>
    <w:rsid w:val="001E7C7B"/>
    <w:rsid w:val="001F4565"/>
    <w:rsid w:val="00210445"/>
    <w:rsid w:val="002104F8"/>
    <w:rsid w:val="00223D5B"/>
    <w:rsid w:val="00225590"/>
    <w:rsid w:val="00226834"/>
    <w:rsid w:val="00226C2C"/>
    <w:rsid w:val="00233128"/>
    <w:rsid w:val="00233A84"/>
    <w:rsid w:val="00241CF2"/>
    <w:rsid w:val="002422C7"/>
    <w:rsid w:val="00255766"/>
    <w:rsid w:val="00261C3D"/>
    <w:rsid w:val="00262E48"/>
    <w:rsid w:val="002645A2"/>
    <w:rsid w:val="002727DB"/>
    <w:rsid w:val="002828FA"/>
    <w:rsid w:val="0028617F"/>
    <w:rsid w:val="002D11B7"/>
    <w:rsid w:val="002F32E6"/>
    <w:rsid w:val="002F5ABF"/>
    <w:rsid w:val="003161BB"/>
    <w:rsid w:val="00340936"/>
    <w:rsid w:val="00345068"/>
    <w:rsid w:val="0035766B"/>
    <w:rsid w:val="00362037"/>
    <w:rsid w:val="00364EE2"/>
    <w:rsid w:val="003774A1"/>
    <w:rsid w:val="003835B0"/>
    <w:rsid w:val="00383F5A"/>
    <w:rsid w:val="00391B23"/>
    <w:rsid w:val="003B3023"/>
    <w:rsid w:val="003B5B8D"/>
    <w:rsid w:val="003E1D42"/>
    <w:rsid w:val="00410F1C"/>
    <w:rsid w:val="004110B2"/>
    <w:rsid w:val="0041468B"/>
    <w:rsid w:val="004216CF"/>
    <w:rsid w:val="00426186"/>
    <w:rsid w:val="004310B9"/>
    <w:rsid w:val="0044438C"/>
    <w:rsid w:val="00445857"/>
    <w:rsid w:val="00446FEE"/>
    <w:rsid w:val="00463277"/>
    <w:rsid w:val="00475C3C"/>
    <w:rsid w:val="004845DE"/>
    <w:rsid w:val="00485487"/>
    <w:rsid w:val="004A212D"/>
    <w:rsid w:val="004B03FE"/>
    <w:rsid w:val="004B6777"/>
    <w:rsid w:val="004D4BE8"/>
    <w:rsid w:val="004E2E4A"/>
    <w:rsid w:val="004E69E3"/>
    <w:rsid w:val="00502FCA"/>
    <w:rsid w:val="00504BE7"/>
    <w:rsid w:val="00525EE7"/>
    <w:rsid w:val="00532312"/>
    <w:rsid w:val="00534B27"/>
    <w:rsid w:val="00577820"/>
    <w:rsid w:val="00590905"/>
    <w:rsid w:val="00595C25"/>
    <w:rsid w:val="005A77D4"/>
    <w:rsid w:val="005C5D45"/>
    <w:rsid w:val="005D2348"/>
    <w:rsid w:val="005D7992"/>
    <w:rsid w:val="005E4DC6"/>
    <w:rsid w:val="00603DBF"/>
    <w:rsid w:val="00607638"/>
    <w:rsid w:val="00614A45"/>
    <w:rsid w:val="0063231F"/>
    <w:rsid w:val="0065372F"/>
    <w:rsid w:val="0065643B"/>
    <w:rsid w:val="00670A54"/>
    <w:rsid w:val="006750F6"/>
    <w:rsid w:val="006B3962"/>
    <w:rsid w:val="006C36CB"/>
    <w:rsid w:val="006C37BD"/>
    <w:rsid w:val="006C4EF6"/>
    <w:rsid w:val="006D67A0"/>
    <w:rsid w:val="006D6BEE"/>
    <w:rsid w:val="00715C75"/>
    <w:rsid w:val="00721A58"/>
    <w:rsid w:val="00727A32"/>
    <w:rsid w:val="00793764"/>
    <w:rsid w:val="007969B2"/>
    <w:rsid w:val="00797689"/>
    <w:rsid w:val="007A0D80"/>
    <w:rsid w:val="007A53AB"/>
    <w:rsid w:val="007A6173"/>
    <w:rsid w:val="007B4A11"/>
    <w:rsid w:val="007D3DF3"/>
    <w:rsid w:val="007D600D"/>
    <w:rsid w:val="007E3B82"/>
    <w:rsid w:val="007F458D"/>
    <w:rsid w:val="007F6B36"/>
    <w:rsid w:val="0080147B"/>
    <w:rsid w:val="00801BFE"/>
    <w:rsid w:val="00806BF4"/>
    <w:rsid w:val="00816B10"/>
    <w:rsid w:val="00830A9A"/>
    <w:rsid w:val="00842BF7"/>
    <w:rsid w:val="008567A4"/>
    <w:rsid w:val="00876BC3"/>
    <w:rsid w:val="00892973"/>
    <w:rsid w:val="008A7B0C"/>
    <w:rsid w:val="008B57F6"/>
    <w:rsid w:val="008C31BE"/>
    <w:rsid w:val="008C4C77"/>
    <w:rsid w:val="008C6120"/>
    <w:rsid w:val="008F04AB"/>
    <w:rsid w:val="00902EAC"/>
    <w:rsid w:val="009078A8"/>
    <w:rsid w:val="009312FB"/>
    <w:rsid w:val="0093497A"/>
    <w:rsid w:val="00941CE9"/>
    <w:rsid w:val="009569D5"/>
    <w:rsid w:val="00967DD1"/>
    <w:rsid w:val="00984142"/>
    <w:rsid w:val="009A1968"/>
    <w:rsid w:val="009B48D7"/>
    <w:rsid w:val="009B7465"/>
    <w:rsid w:val="009D1F3C"/>
    <w:rsid w:val="009D3CDA"/>
    <w:rsid w:val="009F2C27"/>
    <w:rsid w:val="00A272BC"/>
    <w:rsid w:val="00A338C2"/>
    <w:rsid w:val="00A354F0"/>
    <w:rsid w:val="00A512B2"/>
    <w:rsid w:val="00A55294"/>
    <w:rsid w:val="00A61FC1"/>
    <w:rsid w:val="00A82B65"/>
    <w:rsid w:val="00A93FE5"/>
    <w:rsid w:val="00A95A1F"/>
    <w:rsid w:val="00AA6391"/>
    <w:rsid w:val="00AC1228"/>
    <w:rsid w:val="00AC1E97"/>
    <w:rsid w:val="00AD18A9"/>
    <w:rsid w:val="00AD21B5"/>
    <w:rsid w:val="00AF0A7A"/>
    <w:rsid w:val="00B02BC7"/>
    <w:rsid w:val="00B05C3E"/>
    <w:rsid w:val="00B11AF8"/>
    <w:rsid w:val="00B20E43"/>
    <w:rsid w:val="00B24C08"/>
    <w:rsid w:val="00B4436D"/>
    <w:rsid w:val="00B62D7B"/>
    <w:rsid w:val="00B73E13"/>
    <w:rsid w:val="00B81E10"/>
    <w:rsid w:val="00BA241F"/>
    <w:rsid w:val="00BB02D8"/>
    <w:rsid w:val="00BB56A0"/>
    <w:rsid w:val="00BC4763"/>
    <w:rsid w:val="00BE3472"/>
    <w:rsid w:val="00C144AA"/>
    <w:rsid w:val="00C301B6"/>
    <w:rsid w:val="00C6053E"/>
    <w:rsid w:val="00C61C8A"/>
    <w:rsid w:val="00C64C7C"/>
    <w:rsid w:val="00C777BB"/>
    <w:rsid w:val="00C913D5"/>
    <w:rsid w:val="00CA2613"/>
    <w:rsid w:val="00CB7C1E"/>
    <w:rsid w:val="00CD26D8"/>
    <w:rsid w:val="00CD6D12"/>
    <w:rsid w:val="00CE2085"/>
    <w:rsid w:val="00D04D3D"/>
    <w:rsid w:val="00D062AE"/>
    <w:rsid w:val="00D144E5"/>
    <w:rsid w:val="00D179F3"/>
    <w:rsid w:val="00D359D8"/>
    <w:rsid w:val="00D42445"/>
    <w:rsid w:val="00D473E1"/>
    <w:rsid w:val="00D62D00"/>
    <w:rsid w:val="00D70294"/>
    <w:rsid w:val="00D710B7"/>
    <w:rsid w:val="00D7399C"/>
    <w:rsid w:val="00D76515"/>
    <w:rsid w:val="00D76EF6"/>
    <w:rsid w:val="00D86C20"/>
    <w:rsid w:val="00D90042"/>
    <w:rsid w:val="00D92CBF"/>
    <w:rsid w:val="00DA51FF"/>
    <w:rsid w:val="00DA597B"/>
    <w:rsid w:val="00DB41F3"/>
    <w:rsid w:val="00DB4DA9"/>
    <w:rsid w:val="00DC133C"/>
    <w:rsid w:val="00DC3646"/>
    <w:rsid w:val="00DE6DBF"/>
    <w:rsid w:val="00E003D0"/>
    <w:rsid w:val="00E11971"/>
    <w:rsid w:val="00E154F0"/>
    <w:rsid w:val="00E20F56"/>
    <w:rsid w:val="00E31F75"/>
    <w:rsid w:val="00E36807"/>
    <w:rsid w:val="00E437F3"/>
    <w:rsid w:val="00E50122"/>
    <w:rsid w:val="00E51BE4"/>
    <w:rsid w:val="00E527DA"/>
    <w:rsid w:val="00E55253"/>
    <w:rsid w:val="00E56719"/>
    <w:rsid w:val="00E577F3"/>
    <w:rsid w:val="00E6519D"/>
    <w:rsid w:val="00E7206A"/>
    <w:rsid w:val="00E8576F"/>
    <w:rsid w:val="00E9423F"/>
    <w:rsid w:val="00E961A4"/>
    <w:rsid w:val="00EB0837"/>
    <w:rsid w:val="00EC0549"/>
    <w:rsid w:val="00EC6995"/>
    <w:rsid w:val="00F03771"/>
    <w:rsid w:val="00F10692"/>
    <w:rsid w:val="00F2072A"/>
    <w:rsid w:val="00F405F7"/>
    <w:rsid w:val="00F40BB9"/>
    <w:rsid w:val="00F46473"/>
    <w:rsid w:val="00F5038A"/>
    <w:rsid w:val="00F538A2"/>
    <w:rsid w:val="00F573BA"/>
    <w:rsid w:val="00F91104"/>
    <w:rsid w:val="00FA25EE"/>
    <w:rsid w:val="00FB5C95"/>
    <w:rsid w:val="00FC7504"/>
    <w:rsid w:val="00FD298F"/>
    <w:rsid w:val="00FE34B5"/>
    <w:rsid w:val="00FE465F"/>
    <w:rsid w:val="00FE5209"/>
    <w:rsid w:val="00FF610D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21CC-8171-4663-A110-BD50714E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6BC3"/>
    <w:pPr>
      <w:ind w:left="720"/>
      <w:contextualSpacing/>
    </w:pPr>
  </w:style>
  <w:style w:type="table" w:styleId="Tabela-Siatka">
    <w:name w:val="Table Grid"/>
    <w:basedOn w:val="Standardowy"/>
    <w:uiPriority w:val="59"/>
    <w:rsid w:val="00B2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B20E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nhideWhenUsed/>
    <w:rsid w:val="0006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4B53"/>
  </w:style>
  <w:style w:type="paragraph" w:styleId="Stopka">
    <w:name w:val="footer"/>
    <w:basedOn w:val="Normalny"/>
    <w:link w:val="StopkaZnak"/>
    <w:uiPriority w:val="99"/>
    <w:unhideWhenUsed/>
    <w:rsid w:val="0006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B53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B5C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B5C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FB5C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6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6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B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E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D70294"/>
  </w:style>
  <w:style w:type="paragraph" w:customStyle="1" w:styleId="Default">
    <w:name w:val="Default"/>
    <w:rsid w:val="00D702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7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rsid w:val="00FF6A05"/>
    <w:pPr>
      <w:tabs>
        <w:tab w:val="left" w:pos="1304"/>
      </w:tabs>
      <w:suppressAutoHyphens/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D67A0"/>
    <w:pPr>
      <w:spacing w:after="0" w:line="240" w:lineRule="auto"/>
    </w:pPr>
    <w:rPr>
      <w:sz w:val="21"/>
      <w:szCs w:val="21"/>
      <w:lang w:val="en-GB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67A0"/>
    <w:rPr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E358-CE67-43BB-ABA5-560AC7583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863D5-F8FE-46C8-A6FC-32E4D35C3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22AB41-149A-4260-806B-1F95E5A9C7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58E05-4883-4468-BCAC-66665E67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</dc:creator>
  <cp:lastModifiedBy>Małgorzata Małek</cp:lastModifiedBy>
  <cp:revision>4</cp:revision>
  <cp:lastPrinted>2017-12-06T14:23:00Z</cp:lastPrinted>
  <dcterms:created xsi:type="dcterms:W3CDTF">2018-04-24T11:45:00Z</dcterms:created>
  <dcterms:modified xsi:type="dcterms:W3CDTF">2018-05-02T10:01:00Z</dcterms:modified>
</cp:coreProperties>
</file>